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DDA48" w14:textId="77777777" w:rsidR="00D24487" w:rsidRPr="00CA28DC" w:rsidRDefault="00D24487" w:rsidP="00D24487">
      <w:pPr>
        <w:ind w:right="197"/>
        <w:jc w:val="center"/>
        <w:rPr>
          <w:b/>
          <w:sz w:val="24"/>
          <w:szCs w:val="24"/>
          <w:lang w:val="lt-LT"/>
        </w:rPr>
      </w:pPr>
      <w:r w:rsidRPr="00CA28DC">
        <w:rPr>
          <w:b/>
          <w:sz w:val="24"/>
          <w:szCs w:val="24"/>
          <w:lang w:val="lt-LT"/>
        </w:rPr>
        <w:t>SPRENDIMAS</w:t>
      </w:r>
    </w:p>
    <w:p w14:paraId="616DDA49" w14:textId="1BA54A2E" w:rsidR="00A36941" w:rsidRPr="00CA28DC" w:rsidRDefault="009108CD" w:rsidP="00A36941">
      <w:pPr>
        <w:jc w:val="center"/>
        <w:rPr>
          <w:b/>
          <w:sz w:val="24"/>
          <w:szCs w:val="24"/>
          <w:lang w:val="lt-LT"/>
        </w:rPr>
      </w:pPr>
      <w:r w:rsidRPr="00CA28DC">
        <w:rPr>
          <w:b/>
          <w:sz w:val="24"/>
          <w:szCs w:val="24"/>
          <w:lang w:val="lt-LT"/>
        </w:rPr>
        <w:t>DĖL PRITARIMO</w:t>
      </w:r>
      <w:r w:rsidR="00A36941" w:rsidRPr="00CA28DC">
        <w:rPr>
          <w:b/>
          <w:sz w:val="24"/>
          <w:szCs w:val="24"/>
          <w:lang w:val="lt-LT"/>
        </w:rPr>
        <w:t xml:space="preserve"> </w:t>
      </w:r>
      <w:r w:rsidR="00A64DF4" w:rsidRPr="00CA28DC">
        <w:rPr>
          <w:b/>
          <w:sz w:val="24"/>
          <w:szCs w:val="24"/>
          <w:lang w:val="lt-LT"/>
        </w:rPr>
        <w:t xml:space="preserve">AKCINĖS BENDROVĖS </w:t>
      </w:r>
      <w:r w:rsidR="00F21BC8" w:rsidRPr="00CA28DC">
        <w:rPr>
          <w:b/>
          <w:sz w:val="24"/>
          <w:szCs w:val="24"/>
          <w:lang w:val="lt-LT"/>
        </w:rPr>
        <w:t>ROKIŠKIO BUTŲ ŪKIO</w:t>
      </w:r>
      <w:r w:rsidR="00CA7F4C" w:rsidRPr="00CA28DC">
        <w:rPr>
          <w:b/>
          <w:sz w:val="24"/>
          <w:szCs w:val="24"/>
          <w:lang w:val="lt-LT"/>
        </w:rPr>
        <w:t xml:space="preserve"> </w:t>
      </w:r>
      <w:r w:rsidR="00A36941" w:rsidRPr="00CA28DC">
        <w:rPr>
          <w:b/>
          <w:sz w:val="24"/>
          <w:szCs w:val="24"/>
          <w:lang w:val="lt-LT"/>
        </w:rPr>
        <w:t>20</w:t>
      </w:r>
      <w:r w:rsidR="00990C62" w:rsidRPr="00CA28DC">
        <w:rPr>
          <w:b/>
          <w:sz w:val="24"/>
          <w:szCs w:val="24"/>
          <w:lang w:val="lt-LT"/>
        </w:rPr>
        <w:t>20</w:t>
      </w:r>
      <w:r w:rsidRPr="00CA28DC">
        <w:rPr>
          <w:b/>
          <w:sz w:val="24"/>
          <w:szCs w:val="24"/>
          <w:lang w:val="lt-LT"/>
        </w:rPr>
        <w:t xml:space="preserve"> </w:t>
      </w:r>
      <w:r w:rsidR="00A36941" w:rsidRPr="00CA28DC">
        <w:rPr>
          <w:b/>
          <w:sz w:val="24"/>
          <w:szCs w:val="24"/>
          <w:lang w:val="lt-LT"/>
        </w:rPr>
        <w:t>METŲ VEIKLOS ATASKAITAI</w:t>
      </w:r>
    </w:p>
    <w:p w14:paraId="616DDA4A" w14:textId="77777777" w:rsidR="00187088" w:rsidRPr="00CA28DC" w:rsidRDefault="00187088" w:rsidP="00187088">
      <w:pPr>
        <w:ind w:right="197"/>
        <w:jc w:val="center"/>
        <w:rPr>
          <w:sz w:val="24"/>
          <w:szCs w:val="24"/>
          <w:lang w:val="lt-LT"/>
        </w:rPr>
      </w:pPr>
    </w:p>
    <w:p w14:paraId="616DDA4B" w14:textId="218ADDBB" w:rsidR="00187088" w:rsidRPr="00CA28DC" w:rsidRDefault="00187088" w:rsidP="00187088">
      <w:pPr>
        <w:ind w:right="197"/>
        <w:jc w:val="center"/>
        <w:rPr>
          <w:sz w:val="24"/>
          <w:szCs w:val="24"/>
          <w:lang w:val="lt-LT"/>
        </w:rPr>
      </w:pPr>
      <w:r w:rsidRPr="00CA28DC">
        <w:rPr>
          <w:sz w:val="24"/>
          <w:szCs w:val="24"/>
          <w:lang w:val="lt-LT"/>
        </w:rPr>
        <w:t>20</w:t>
      </w:r>
      <w:r w:rsidR="00620389" w:rsidRPr="00CA28DC">
        <w:rPr>
          <w:sz w:val="24"/>
          <w:szCs w:val="24"/>
          <w:lang w:val="lt-LT"/>
        </w:rPr>
        <w:t>2</w:t>
      </w:r>
      <w:r w:rsidR="00990C62" w:rsidRPr="00CA28DC">
        <w:rPr>
          <w:sz w:val="24"/>
          <w:szCs w:val="24"/>
          <w:lang w:val="lt-LT"/>
        </w:rPr>
        <w:t>1</w:t>
      </w:r>
      <w:r w:rsidRPr="00CA28DC">
        <w:rPr>
          <w:sz w:val="24"/>
          <w:szCs w:val="24"/>
          <w:lang w:val="lt-LT"/>
        </w:rPr>
        <w:t xml:space="preserve"> m. </w:t>
      </w:r>
      <w:r w:rsidR="00A36941" w:rsidRPr="00CA28DC">
        <w:rPr>
          <w:sz w:val="24"/>
          <w:szCs w:val="24"/>
          <w:lang w:val="lt-LT"/>
        </w:rPr>
        <w:t xml:space="preserve">balandžio </w:t>
      </w:r>
      <w:r w:rsidR="00990C62" w:rsidRPr="00CA28DC">
        <w:rPr>
          <w:sz w:val="24"/>
          <w:szCs w:val="24"/>
          <w:lang w:val="lt-LT"/>
        </w:rPr>
        <w:t>30</w:t>
      </w:r>
      <w:r w:rsidRPr="00CA28DC">
        <w:rPr>
          <w:sz w:val="24"/>
          <w:szCs w:val="24"/>
          <w:lang w:val="lt-LT"/>
        </w:rPr>
        <w:t xml:space="preserve"> d. Nr. TS-</w:t>
      </w:r>
    </w:p>
    <w:p w14:paraId="616DDA4C" w14:textId="77777777" w:rsidR="00187088" w:rsidRPr="00CA28DC" w:rsidRDefault="00187088" w:rsidP="00187088">
      <w:pPr>
        <w:ind w:right="197"/>
        <w:jc w:val="center"/>
        <w:rPr>
          <w:sz w:val="24"/>
          <w:szCs w:val="24"/>
          <w:lang w:val="lt-LT"/>
        </w:rPr>
      </w:pPr>
      <w:r w:rsidRPr="00CA28DC">
        <w:rPr>
          <w:sz w:val="24"/>
          <w:szCs w:val="24"/>
          <w:lang w:val="lt-LT"/>
        </w:rPr>
        <w:t>Rokiškis</w:t>
      </w:r>
    </w:p>
    <w:p w14:paraId="616DDA4D" w14:textId="77777777" w:rsidR="00187088" w:rsidRDefault="00187088" w:rsidP="00187088">
      <w:pPr>
        <w:pStyle w:val="Antrat1"/>
        <w:ind w:firstLine="720"/>
        <w:jc w:val="both"/>
        <w:rPr>
          <w:sz w:val="24"/>
          <w:szCs w:val="24"/>
          <w:lang w:val="lt-LT"/>
        </w:rPr>
      </w:pPr>
    </w:p>
    <w:p w14:paraId="2C465E0A" w14:textId="77777777" w:rsidR="00126F37" w:rsidRPr="00126F37" w:rsidRDefault="00126F37" w:rsidP="00126F37">
      <w:pPr>
        <w:rPr>
          <w:lang w:val="lt-LT" w:eastAsia="x-none"/>
        </w:rPr>
      </w:pPr>
    </w:p>
    <w:p w14:paraId="616DDA4E" w14:textId="1FE8A639" w:rsidR="009108CD" w:rsidRPr="00CA28DC" w:rsidRDefault="00A36941" w:rsidP="00A36941">
      <w:pPr>
        <w:pStyle w:val="Default"/>
        <w:ind w:firstLine="851"/>
        <w:jc w:val="both"/>
        <w:rPr>
          <w:color w:val="auto"/>
        </w:rPr>
      </w:pPr>
      <w:r w:rsidRPr="00CA28DC">
        <w:rPr>
          <w:color w:val="auto"/>
        </w:rPr>
        <w:t>Vadovaudamasi Lietuvos Respublikos vietos savivaldos įstatymo 16 straipsnio 2 dalies 19 punktu ir Rokiš</w:t>
      </w:r>
      <w:r w:rsidR="009108CD" w:rsidRPr="00CA28DC">
        <w:rPr>
          <w:color w:val="auto"/>
        </w:rPr>
        <w:t>kio rajono savivaldybės tarybos</w:t>
      </w:r>
      <w:r w:rsidRPr="00CA28DC">
        <w:rPr>
          <w:color w:val="auto"/>
        </w:rPr>
        <w:t xml:space="preserve"> </w:t>
      </w:r>
      <w:r w:rsidRPr="00CA28DC">
        <w:rPr>
          <w:color w:val="auto"/>
          <w:lang w:eastAsia="ar-SA"/>
        </w:rPr>
        <w:t>201</w:t>
      </w:r>
      <w:r w:rsidR="00620389" w:rsidRPr="00CA28DC">
        <w:rPr>
          <w:color w:val="auto"/>
          <w:lang w:eastAsia="ar-SA"/>
        </w:rPr>
        <w:t xml:space="preserve">9 m. kovo 29 d. sprendimu Nr. TS-43 </w:t>
      </w:r>
      <w:r w:rsidRPr="00CA28DC">
        <w:rPr>
          <w:color w:val="auto"/>
        </w:rPr>
        <w:t>,,Dėl Rokiškio rajono savivaldybės tarybos veiklos reglamento patvirtinimo</w:t>
      </w:r>
      <w:r w:rsidR="00CD29B8" w:rsidRPr="00CA28DC">
        <w:rPr>
          <w:color w:val="auto"/>
        </w:rPr>
        <w:t xml:space="preserve">“ </w:t>
      </w:r>
      <w:r w:rsidRPr="00CA28DC">
        <w:rPr>
          <w:color w:val="auto"/>
        </w:rPr>
        <w:t>patvirtinto Rokiškio rajono savivaldybės tarybos veiklos</w:t>
      </w:r>
      <w:r w:rsidR="009108CD" w:rsidRPr="00CA28DC">
        <w:rPr>
          <w:color w:val="auto"/>
        </w:rPr>
        <w:t xml:space="preserve"> reglamento 2</w:t>
      </w:r>
      <w:r w:rsidR="004E48E7" w:rsidRPr="00CA28DC">
        <w:rPr>
          <w:color w:val="auto"/>
        </w:rPr>
        <w:t>7</w:t>
      </w:r>
      <w:r w:rsidR="00620389" w:rsidRPr="00CA28DC">
        <w:rPr>
          <w:color w:val="auto"/>
        </w:rPr>
        <w:t>3 ir 276 punktais</w:t>
      </w:r>
      <w:r w:rsidR="009108CD" w:rsidRPr="00CA28DC">
        <w:rPr>
          <w:color w:val="auto"/>
        </w:rPr>
        <w:t xml:space="preserve">, </w:t>
      </w:r>
      <w:r w:rsidRPr="00CA28DC">
        <w:rPr>
          <w:color w:val="auto"/>
        </w:rPr>
        <w:t xml:space="preserve">Rokiškio rajono savivaldybės taryba  </w:t>
      </w:r>
    </w:p>
    <w:p w14:paraId="1EB722FA" w14:textId="77777777" w:rsidR="00330DAA" w:rsidRPr="00CA28DC" w:rsidRDefault="00A36941" w:rsidP="00330DAA">
      <w:pPr>
        <w:pStyle w:val="Default"/>
        <w:jc w:val="both"/>
        <w:rPr>
          <w:color w:val="auto"/>
        </w:rPr>
      </w:pPr>
      <w:r w:rsidRPr="00CA28DC">
        <w:rPr>
          <w:color w:val="auto"/>
        </w:rPr>
        <w:t>n u s p r e n d ž i a:</w:t>
      </w:r>
    </w:p>
    <w:p w14:paraId="03EDFEE5" w14:textId="6C4DF5FC" w:rsidR="00330DAA" w:rsidRPr="00CA28DC" w:rsidRDefault="00330DAA" w:rsidP="00330DAA">
      <w:pPr>
        <w:pStyle w:val="Default"/>
        <w:jc w:val="both"/>
        <w:rPr>
          <w:color w:val="auto"/>
        </w:rPr>
      </w:pPr>
      <w:r w:rsidRPr="00CA28DC">
        <w:rPr>
          <w:color w:val="auto"/>
        </w:rPr>
        <w:tab/>
        <w:t xml:space="preserve">1. </w:t>
      </w:r>
      <w:r w:rsidR="009108CD" w:rsidRPr="00CA28DC">
        <w:rPr>
          <w:color w:val="auto"/>
        </w:rPr>
        <w:t>P</w:t>
      </w:r>
      <w:r w:rsidR="00A36941" w:rsidRPr="00CA28DC">
        <w:rPr>
          <w:color w:val="auto"/>
        </w:rPr>
        <w:t xml:space="preserve">ritarti </w:t>
      </w:r>
      <w:r w:rsidR="00A64DF4" w:rsidRPr="00CA28DC">
        <w:rPr>
          <w:color w:val="auto"/>
        </w:rPr>
        <w:t xml:space="preserve">akcinės bendrovės </w:t>
      </w:r>
      <w:r w:rsidR="00F21BC8" w:rsidRPr="00CA28DC">
        <w:rPr>
          <w:color w:val="auto"/>
        </w:rPr>
        <w:t xml:space="preserve">Rokiškio butų ūkio </w:t>
      </w:r>
      <w:r w:rsidR="00A36941" w:rsidRPr="00CA28DC">
        <w:rPr>
          <w:color w:val="auto"/>
        </w:rPr>
        <w:t>20</w:t>
      </w:r>
      <w:r w:rsidR="00990C62" w:rsidRPr="00CA28DC">
        <w:rPr>
          <w:color w:val="auto"/>
        </w:rPr>
        <w:t>20</w:t>
      </w:r>
      <w:r w:rsidR="009108CD" w:rsidRPr="00CA28DC">
        <w:rPr>
          <w:color w:val="auto"/>
        </w:rPr>
        <w:t xml:space="preserve"> metų </w:t>
      </w:r>
      <w:r w:rsidR="00A36941" w:rsidRPr="00CA28DC">
        <w:rPr>
          <w:color w:val="auto"/>
        </w:rPr>
        <w:t>veiklos ataskaitai (pridedama).</w:t>
      </w:r>
    </w:p>
    <w:p w14:paraId="70651417" w14:textId="77777777" w:rsidR="00330DAA" w:rsidRPr="00CA28DC" w:rsidRDefault="00330DAA" w:rsidP="00330DAA">
      <w:pPr>
        <w:pStyle w:val="Default"/>
        <w:jc w:val="both"/>
        <w:rPr>
          <w:color w:val="auto"/>
        </w:rPr>
      </w:pPr>
      <w:r w:rsidRPr="00CA28DC">
        <w:rPr>
          <w:color w:val="auto"/>
        </w:rPr>
        <w:tab/>
        <w:t xml:space="preserve">2. </w:t>
      </w:r>
      <w:r w:rsidR="00620389" w:rsidRPr="00CA28DC">
        <w:rPr>
          <w:color w:val="auto"/>
        </w:rPr>
        <w:t xml:space="preserve">Sprendimą </w:t>
      </w:r>
      <w:r w:rsidR="009108CD" w:rsidRPr="00CA28DC">
        <w:rPr>
          <w:color w:val="auto"/>
        </w:rPr>
        <w:t xml:space="preserve">skelbti savivaldybės interneto svetainėje </w:t>
      </w:r>
      <w:hyperlink r:id="rId9" w:history="1">
        <w:r w:rsidR="009108CD" w:rsidRPr="00CA28DC">
          <w:rPr>
            <w:rStyle w:val="Hipersaitas"/>
            <w:color w:val="auto"/>
          </w:rPr>
          <w:t>www.rokiskis.lt</w:t>
        </w:r>
      </w:hyperlink>
      <w:r w:rsidR="009108CD" w:rsidRPr="00CA28DC">
        <w:rPr>
          <w:color w:val="auto"/>
        </w:rPr>
        <w:t>.</w:t>
      </w:r>
    </w:p>
    <w:p w14:paraId="616DDA52" w14:textId="28B8C545" w:rsidR="00CB1B62" w:rsidRPr="00CA28DC" w:rsidRDefault="00330DAA" w:rsidP="00330DAA">
      <w:pPr>
        <w:pStyle w:val="Default"/>
        <w:jc w:val="both"/>
        <w:rPr>
          <w:color w:val="auto"/>
        </w:rPr>
      </w:pPr>
      <w:r w:rsidRPr="00CA28DC">
        <w:rPr>
          <w:color w:val="auto"/>
        </w:rPr>
        <w:tab/>
      </w:r>
      <w:r w:rsidR="009108CD" w:rsidRPr="00CA28DC">
        <w:rPr>
          <w:color w:val="auto"/>
        </w:rPr>
        <w:t xml:space="preserve">Sprendimas </w:t>
      </w:r>
      <w:r w:rsidR="00CB1B62" w:rsidRPr="00CA28DC">
        <w:rPr>
          <w:color w:val="auto"/>
        </w:rPr>
        <w:t>per vieną mėnesį gali būti skundžiamas Regionų apygardos administraciniam teismui, skundą (prašymą) paduodant bet kuriuose šio teismo rūmuose, Lietuvos Respublikos administracinių bylų teisenos įstatymo nustatyta tvarka.</w:t>
      </w:r>
    </w:p>
    <w:p w14:paraId="616DDA53" w14:textId="77777777" w:rsidR="00187088" w:rsidRPr="00CA28DC" w:rsidRDefault="00187088" w:rsidP="00D24487">
      <w:pPr>
        <w:ind w:firstLine="720"/>
        <w:jc w:val="both"/>
        <w:rPr>
          <w:sz w:val="24"/>
          <w:szCs w:val="24"/>
          <w:lang w:val="lt-LT"/>
        </w:rPr>
      </w:pPr>
    </w:p>
    <w:p w14:paraId="616DDA54" w14:textId="77777777" w:rsidR="00187088" w:rsidRDefault="00187088" w:rsidP="00187088">
      <w:pPr>
        <w:ind w:right="197"/>
        <w:rPr>
          <w:sz w:val="24"/>
          <w:szCs w:val="24"/>
          <w:lang w:val="lt-LT"/>
        </w:rPr>
      </w:pPr>
    </w:p>
    <w:p w14:paraId="229278D8" w14:textId="77777777" w:rsidR="00126F37" w:rsidRDefault="00126F37" w:rsidP="00187088">
      <w:pPr>
        <w:ind w:right="197"/>
        <w:rPr>
          <w:sz w:val="24"/>
          <w:szCs w:val="24"/>
          <w:lang w:val="lt-LT"/>
        </w:rPr>
      </w:pPr>
    </w:p>
    <w:p w14:paraId="616DDA55" w14:textId="77777777" w:rsidR="00187088" w:rsidRPr="00CA28DC" w:rsidRDefault="00187088" w:rsidP="00187088">
      <w:pPr>
        <w:ind w:right="197"/>
        <w:rPr>
          <w:sz w:val="24"/>
          <w:szCs w:val="24"/>
          <w:lang w:val="lt-LT"/>
        </w:rPr>
      </w:pPr>
    </w:p>
    <w:p w14:paraId="616DDA56" w14:textId="77777777" w:rsidR="00187088" w:rsidRPr="00CA28DC" w:rsidRDefault="00187088" w:rsidP="00187088">
      <w:pPr>
        <w:ind w:right="197"/>
        <w:rPr>
          <w:sz w:val="24"/>
          <w:szCs w:val="24"/>
          <w:lang w:val="lt-LT"/>
        </w:rPr>
      </w:pPr>
      <w:r w:rsidRPr="00CA28DC">
        <w:rPr>
          <w:sz w:val="24"/>
          <w:szCs w:val="24"/>
          <w:lang w:val="lt-LT"/>
        </w:rPr>
        <w:t>Savivaldybės meras</w:t>
      </w:r>
      <w:r w:rsidRPr="00CA28DC">
        <w:rPr>
          <w:sz w:val="24"/>
          <w:szCs w:val="24"/>
          <w:lang w:val="lt-LT"/>
        </w:rPr>
        <w:tab/>
      </w:r>
      <w:r w:rsidRPr="00CA28DC">
        <w:rPr>
          <w:sz w:val="24"/>
          <w:szCs w:val="24"/>
          <w:lang w:val="lt-LT"/>
        </w:rPr>
        <w:tab/>
      </w:r>
      <w:r w:rsidRPr="00CA28DC">
        <w:rPr>
          <w:sz w:val="24"/>
          <w:szCs w:val="24"/>
          <w:lang w:val="lt-LT"/>
        </w:rPr>
        <w:tab/>
      </w:r>
      <w:r w:rsidRPr="00CA28DC">
        <w:rPr>
          <w:sz w:val="24"/>
          <w:szCs w:val="24"/>
          <w:lang w:val="lt-LT"/>
        </w:rPr>
        <w:tab/>
      </w:r>
      <w:r w:rsidRPr="00CA28DC">
        <w:rPr>
          <w:sz w:val="24"/>
          <w:szCs w:val="24"/>
          <w:lang w:val="lt-LT"/>
        </w:rPr>
        <w:tab/>
      </w:r>
      <w:r w:rsidRPr="00CA28DC">
        <w:rPr>
          <w:sz w:val="24"/>
          <w:szCs w:val="24"/>
          <w:lang w:val="lt-LT"/>
        </w:rPr>
        <w:tab/>
      </w:r>
      <w:r w:rsidRPr="00CA28DC">
        <w:rPr>
          <w:sz w:val="24"/>
          <w:szCs w:val="24"/>
          <w:lang w:val="lt-LT"/>
        </w:rPr>
        <w:tab/>
      </w:r>
      <w:r w:rsidR="009108CD" w:rsidRPr="00CA28DC">
        <w:rPr>
          <w:sz w:val="24"/>
          <w:szCs w:val="24"/>
          <w:lang w:val="lt-LT"/>
        </w:rPr>
        <w:t>Ramūnas Godeliauskas</w:t>
      </w:r>
    </w:p>
    <w:p w14:paraId="616DDA57" w14:textId="77777777" w:rsidR="00187088" w:rsidRPr="00CA28DC" w:rsidRDefault="00187088" w:rsidP="00187088">
      <w:pPr>
        <w:ind w:right="197"/>
        <w:rPr>
          <w:sz w:val="24"/>
          <w:szCs w:val="24"/>
          <w:lang w:val="lt-LT"/>
        </w:rPr>
      </w:pPr>
    </w:p>
    <w:p w14:paraId="616DDA58" w14:textId="77777777" w:rsidR="00187088" w:rsidRPr="00CA28DC" w:rsidRDefault="00187088" w:rsidP="00187088">
      <w:pPr>
        <w:ind w:right="197"/>
        <w:rPr>
          <w:sz w:val="24"/>
          <w:szCs w:val="24"/>
          <w:lang w:val="lt-LT"/>
        </w:rPr>
      </w:pPr>
    </w:p>
    <w:p w14:paraId="616DDA59" w14:textId="77777777" w:rsidR="00187088" w:rsidRPr="00CA28DC" w:rsidRDefault="00187088" w:rsidP="00187088">
      <w:pPr>
        <w:ind w:right="197"/>
        <w:rPr>
          <w:sz w:val="24"/>
          <w:szCs w:val="24"/>
          <w:lang w:val="lt-LT"/>
        </w:rPr>
      </w:pPr>
    </w:p>
    <w:p w14:paraId="616DDA5A" w14:textId="77777777" w:rsidR="00187088" w:rsidRPr="00CA28DC" w:rsidRDefault="00187088" w:rsidP="00187088">
      <w:pPr>
        <w:ind w:right="197"/>
        <w:rPr>
          <w:sz w:val="24"/>
          <w:szCs w:val="24"/>
          <w:lang w:val="lt-LT"/>
        </w:rPr>
      </w:pPr>
    </w:p>
    <w:p w14:paraId="616DDA5B" w14:textId="77777777" w:rsidR="00187088" w:rsidRPr="00CA28DC" w:rsidRDefault="00187088" w:rsidP="00187088">
      <w:pPr>
        <w:ind w:right="197"/>
        <w:rPr>
          <w:sz w:val="24"/>
          <w:szCs w:val="24"/>
          <w:lang w:val="lt-LT"/>
        </w:rPr>
      </w:pPr>
    </w:p>
    <w:p w14:paraId="616DDA5C" w14:textId="77777777" w:rsidR="00187088" w:rsidRPr="00CA28DC" w:rsidRDefault="00187088" w:rsidP="00187088">
      <w:pPr>
        <w:ind w:right="197"/>
        <w:rPr>
          <w:sz w:val="24"/>
          <w:szCs w:val="24"/>
          <w:lang w:val="lt-LT"/>
        </w:rPr>
      </w:pPr>
    </w:p>
    <w:p w14:paraId="616DDA5D" w14:textId="77777777" w:rsidR="00187088" w:rsidRPr="00CA28DC" w:rsidRDefault="00187088" w:rsidP="00187088">
      <w:pPr>
        <w:ind w:right="197"/>
        <w:rPr>
          <w:sz w:val="24"/>
          <w:szCs w:val="24"/>
          <w:lang w:val="lt-LT"/>
        </w:rPr>
      </w:pPr>
    </w:p>
    <w:p w14:paraId="616DDA5E" w14:textId="77777777" w:rsidR="00187088" w:rsidRPr="00CA28DC" w:rsidRDefault="00187088" w:rsidP="00187088">
      <w:pPr>
        <w:ind w:right="197"/>
        <w:rPr>
          <w:sz w:val="24"/>
          <w:szCs w:val="24"/>
          <w:lang w:val="lt-LT"/>
        </w:rPr>
      </w:pPr>
    </w:p>
    <w:p w14:paraId="616DDA5F" w14:textId="77777777" w:rsidR="00187088" w:rsidRPr="00CA28DC" w:rsidRDefault="00187088" w:rsidP="00187088">
      <w:pPr>
        <w:ind w:right="197"/>
        <w:rPr>
          <w:sz w:val="24"/>
          <w:szCs w:val="24"/>
          <w:lang w:val="lt-LT"/>
        </w:rPr>
      </w:pPr>
    </w:p>
    <w:p w14:paraId="616DDA60" w14:textId="77777777" w:rsidR="00187088" w:rsidRPr="00CA28DC" w:rsidRDefault="00187088" w:rsidP="00187088">
      <w:pPr>
        <w:ind w:right="197"/>
        <w:rPr>
          <w:sz w:val="24"/>
          <w:szCs w:val="24"/>
          <w:lang w:val="lt-LT"/>
        </w:rPr>
      </w:pPr>
    </w:p>
    <w:p w14:paraId="616DDA61" w14:textId="77777777" w:rsidR="00187088" w:rsidRPr="00CA28DC" w:rsidRDefault="00187088" w:rsidP="00187088">
      <w:pPr>
        <w:ind w:right="197"/>
        <w:rPr>
          <w:sz w:val="24"/>
          <w:szCs w:val="24"/>
          <w:lang w:val="lt-LT"/>
        </w:rPr>
      </w:pPr>
    </w:p>
    <w:p w14:paraId="616DDA62" w14:textId="77777777" w:rsidR="00187088" w:rsidRPr="00CA28DC" w:rsidRDefault="00187088" w:rsidP="00187088">
      <w:pPr>
        <w:ind w:right="197"/>
        <w:rPr>
          <w:sz w:val="24"/>
          <w:szCs w:val="24"/>
          <w:lang w:val="lt-LT"/>
        </w:rPr>
      </w:pPr>
    </w:p>
    <w:p w14:paraId="616DDA63" w14:textId="77777777" w:rsidR="00187088" w:rsidRPr="00CA28DC" w:rsidRDefault="00187088" w:rsidP="00187088">
      <w:pPr>
        <w:ind w:right="197"/>
        <w:rPr>
          <w:sz w:val="24"/>
          <w:szCs w:val="24"/>
          <w:lang w:val="lt-LT"/>
        </w:rPr>
      </w:pPr>
    </w:p>
    <w:p w14:paraId="616DDA64" w14:textId="77777777" w:rsidR="00187088" w:rsidRPr="00CA28DC" w:rsidRDefault="00187088" w:rsidP="00187088">
      <w:pPr>
        <w:ind w:right="197"/>
        <w:rPr>
          <w:sz w:val="24"/>
          <w:szCs w:val="24"/>
          <w:lang w:val="lt-LT"/>
        </w:rPr>
      </w:pPr>
    </w:p>
    <w:p w14:paraId="616DDA65" w14:textId="77777777" w:rsidR="00D52072" w:rsidRPr="00CA28DC" w:rsidRDefault="00D52072" w:rsidP="00187088">
      <w:pPr>
        <w:ind w:right="197"/>
        <w:rPr>
          <w:sz w:val="24"/>
          <w:szCs w:val="24"/>
          <w:lang w:val="lt-LT"/>
        </w:rPr>
      </w:pPr>
    </w:p>
    <w:p w14:paraId="616DDA66" w14:textId="77777777" w:rsidR="00A36941" w:rsidRPr="00CA28DC" w:rsidRDefault="00A36941" w:rsidP="00187088">
      <w:pPr>
        <w:ind w:right="197"/>
        <w:rPr>
          <w:sz w:val="24"/>
          <w:szCs w:val="24"/>
          <w:lang w:val="lt-LT"/>
        </w:rPr>
      </w:pPr>
    </w:p>
    <w:p w14:paraId="616DDA67" w14:textId="77777777" w:rsidR="00A36941" w:rsidRPr="00CA28DC" w:rsidRDefault="00A36941" w:rsidP="00187088">
      <w:pPr>
        <w:ind w:right="197"/>
        <w:rPr>
          <w:sz w:val="24"/>
          <w:szCs w:val="24"/>
          <w:lang w:val="lt-LT"/>
        </w:rPr>
      </w:pPr>
    </w:p>
    <w:p w14:paraId="616DDA68" w14:textId="77777777" w:rsidR="00A36941" w:rsidRPr="00CA28DC" w:rsidRDefault="00A36941" w:rsidP="00187088">
      <w:pPr>
        <w:ind w:right="197"/>
        <w:rPr>
          <w:sz w:val="24"/>
          <w:szCs w:val="24"/>
          <w:lang w:val="lt-LT"/>
        </w:rPr>
      </w:pPr>
    </w:p>
    <w:p w14:paraId="616DDA69" w14:textId="77777777" w:rsidR="00A36941" w:rsidRPr="00CA28DC" w:rsidRDefault="00A36941" w:rsidP="00187088">
      <w:pPr>
        <w:ind w:right="197"/>
        <w:rPr>
          <w:sz w:val="24"/>
          <w:szCs w:val="24"/>
          <w:lang w:val="lt-LT"/>
        </w:rPr>
      </w:pPr>
    </w:p>
    <w:p w14:paraId="616DDA6A" w14:textId="77777777" w:rsidR="00A36941" w:rsidRPr="00CA28DC" w:rsidRDefault="00A36941" w:rsidP="00187088">
      <w:pPr>
        <w:ind w:right="197"/>
        <w:rPr>
          <w:sz w:val="24"/>
          <w:szCs w:val="24"/>
          <w:lang w:val="lt-LT"/>
        </w:rPr>
      </w:pPr>
    </w:p>
    <w:p w14:paraId="616DDA6B" w14:textId="77777777" w:rsidR="00A36941" w:rsidRDefault="00A36941" w:rsidP="00187088">
      <w:pPr>
        <w:ind w:right="197"/>
        <w:rPr>
          <w:sz w:val="24"/>
          <w:szCs w:val="24"/>
          <w:lang w:val="lt-LT"/>
        </w:rPr>
      </w:pPr>
    </w:p>
    <w:p w14:paraId="7BE65C8D" w14:textId="77777777" w:rsidR="00126F37" w:rsidRPr="00CA28DC" w:rsidRDefault="00126F37" w:rsidP="00187088">
      <w:pPr>
        <w:ind w:right="197"/>
        <w:rPr>
          <w:sz w:val="24"/>
          <w:szCs w:val="24"/>
          <w:lang w:val="lt-LT"/>
        </w:rPr>
      </w:pPr>
    </w:p>
    <w:p w14:paraId="616DDA6C" w14:textId="77777777" w:rsidR="00A36941" w:rsidRPr="00CA28DC" w:rsidRDefault="00A36941" w:rsidP="00187088">
      <w:pPr>
        <w:ind w:right="197"/>
        <w:rPr>
          <w:sz w:val="24"/>
          <w:szCs w:val="24"/>
          <w:lang w:val="lt-LT"/>
        </w:rPr>
      </w:pPr>
    </w:p>
    <w:p w14:paraId="616DDA6D" w14:textId="77777777" w:rsidR="00A36941" w:rsidRPr="00CA28DC" w:rsidRDefault="00A36941" w:rsidP="00187088">
      <w:pPr>
        <w:ind w:right="197"/>
        <w:rPr>
          <w:sz w:val="24"/>
          <w:szCs w:val="24"/>
          <w:lang w:val="lt-LT"/>
        </w:rPr>
      </w:pPr>
    </w:p>
    <w:p w14:paraId="616DDA6E" w14:textId="77777777" w:rsidR="00574298" w:rsidRPr="00CA28DC" w:rsidRDefault="001F22F4" w:rsidP="001F22F4">
      <w:pPr>
        <w:ind w:right="197"/>
        <w:rPr>
          <w:sz w:val="24"/>
          <w:szCs w:val="24"/>
          <w:lang w:val="lt-LT"/>
        </w:rPr>
      </w:pPr>
      <w:r w:rsidRPr="00CA28DC">
        <w:rPr>
          <w:sz w:val="24"/>
          <w:szCs w:val="24"/>
          <w:lang w:val="lt-LT"/>
        </w:rPr>
        <w:t>Violeta Bieliūnaitė-Vanagienė</w:t>
      </w:r>
    </w:p>
    <w:p w14:paraId="616DDA70" w14:textId="77777777" w:rsidR="00A36941" w:rsidRPr="00CA28DC" w:rsidRDefault="00A36941" w:rsidP="00126F37">
      <w:pPr>
        <w:ind w:left="4963" w:firstLine="140"/>
        <w:rPr>
          <w:sz w:val="24"/>
          <w:szCs w:val="24"/>
          <w:lang w:val="lt-LT"/>
        </w:rPr>
      </w:pPr>
      <w:r w:rsidRPr="00CA28DC">
        <w:rPr>
          <w:sz w:val="24"/>
          <w:szCs w:val="24"/>
          <w:lang w:val="lt-LT"/>
        </w:rPr>
        <w:lastRenderedPageBreak/>
        <w:t xml:space="preserve">PRITARTA </w:t>
      </w:r>
    </w:p>
    <w:p w14:paraId="616DDA71" w14:textId="77777777" w:rsidR="00A36941" w:rsidRPr="00CA28DC" w:rsidRDefault="00A36941" w:rsidP="00126F37">
      <w:pPr>
        <w:ind w:left="4963" w:firstLine="140"/>
        <w:rPr>
          <w:sz w:val="24"/>
          <w:szCs w:val="24"/>
          <w:lang w:val="lt-LT"/>
        </w:rPr>
      </w:pPr>
      <w:r w:rsidRPr="00CA28DC">
        <w:rPr>
          <w:sz w:val="24"/>
          <w:szCs w:val="24"/>
          <w:lang w:val="lt-LT"/>
        </w:rPr>
        <w:t>Rokiškio rajono savivaldybės tarybos</w:t>
      </w:r>
    </w:p>
    <w:p w14:paraId="00A61467" w14:textId="4F79870E" w:rsidR="00990C62" w:rsidRPr="00CA28DC" w:rsidRDefault="00A36941" w:rsidP="00126F37">
      <w:pPr>
        <w:ind w:left="4963" w:firstLine="140"/>
        <w:rPr>
          <w:sz w:val="24"/>
          <w:szCs w:val="24"/>
          <w:lang w:val="lt-LT"/>
        </w:rPr>
      </w:pPr>
      <w:r w:rsidRPr="00CA28DC">
        <w:rPr>
          <w:sz w:val="24"/>
          <w:szCs w:val="24"/>
          <w:lang w:val="lt-LT"/>
        </w:rPr>
        <w:t>20</w:t>
      </w:r>
      <w:r w:rsidR="00620389" w:rsidRPr="00CA28DC">
        <w:rPr>
          <w:sz w:val="24"/>
          <w:szCs w:val="24"/>
          <w:lang w:val="lt-LT"/>
        </w:rPr>
        <w:t>2</w:t>
      </w:r>
      <w:r w:rsidR="00990C62" w:rsidRPr="00CA28DC">
        <w:rPr>
          <w:sz w:val="24"/>
          <w:szCs w:val="24"/>
          <w:lang w:val="lt-LT"/>
        </w:rPr>
        <w:t>1</w:t>
      </w:r>
      <w:r w:rsidRPr="00CA28DC">
        <w:rPr>
          <w:sz w:val="24"/>
          <w:szCs w:val="24"/>
          <w:lang w:val="lt-LT"/>
        </w:rPr>
        <w:t xml:space="preserve"> m. balandžio </w:t>
      </w:r>
      <w:r w:rsidR="00990C62" w:rsidRPr="00CA28DC">
        <w:rPr>
          <w:sz w:val="24"/>
          <w:szCs w:val="24"/>
          <w:lang w:val="lt-LT"/>
        </w:rPr>
        <w:t>30</w:t>
      </w:r>
      <w:r w:rsidRPr="00CA28DC">
        <w:rPr>
          <w:sz w:val="24"/>
          <w:szCs w:val="24"/>
          <w:lang w:val="lt-LT"/>
        </w:rPr>
        <w:t xml:space="preserve"> d. sprendimu Nr. TS-</w:t>
      </w:r>
    </w:p>
    <w:p w14:paraId="7E696D56" w14:textId="77777777" w:rsidR="00990C62" w:rsidRPr="00CA28DC" w:rsidRDefault="00990C62" w:rsidP="00990C62">
      <w:pPr>
        <w:pStyle w:val="Betarp"/>
        <w:rPr>
          <w:rFonts w:ascii="Times New Roman" w:hAnsi="Times New Roman"/>
          <w:sz w:val="24"/>
          <w:szCs w:val="24"/>
        </w:rPr>
      </w:pPr>
    </w:p>
    <w:p w14:paraId="311005D0" w14:textId="77777777" w:rsidR="00990C62" w:rsidRPr="00CA28DC" w:rsidRDefault="00990C62" w:rsidP="00990C62">
      <w:pPr>
        <w:pStyle w:val="Betarp"/>
        <w:jc w:val="center"/>
        <w:rPr>
          <w:rFonts w:ascii="Times New Roman" w:hAnsi="Times New Roman"/>
          <w:b/>
          <w:sz w:val="24"/>
          <w:szCs w:val="24"/>
        </w:rPr>
      </w:pPr>
      <w:r w:rsidRPr="00CA28DC">
        <w:rPr>
          <w:rFonts w:ascii="Times New Roman" w:hAnsi="Times New Roman"/>
          <w:b/>
          <w:sz w:val="24"/>
          <w:szCs w:val="24"/>
        </w:rPr>
        <w:t xml:space="preserve">AKCINĖS BENDROVĖS ROKIŠKIO BUTŲ ŪKIO </w:t>
      </w:r>
    </w:p>
    <w:p w14:paraId="4EBBC398" w14:textId="77777777" w:rsidR="00990C62" w:rsidRPr="00CA28DC" w:rsidRDefault="00990C62" w:rsidP="00990C62">
      <w:pPr>
        <w:pStyle w:val="Betarp"/>
        <w:jc w:val="center"/>
        <w:rPr>
          <w:rFonts w:ascii="Times New Roman" w:hAnsi="Times New Roman"/>
          <w:b/>
          <w:sz w:val="24"/>
          <w:szCs w:val="24"/>
        </w:rPr>
      </w:pPr>
      <w:r w:rsidRPr="00CA28DC">
        <w:rPr>
          <w:rFonts w:ascii="Times New Roman" w:hAnsi="Times New Roman"/>
          <w:b/>
          <w:sz w:val="24"/>
          <w:szCs w:val="24"/>
        </w:rPr>
        <w:t>2020 METŲ VEIKLOS ATASKAITA</w:t>
      </w:r>
    </w:p>
    <w:p w14:paraId="144B7F8E" w14:textId="77777777" w:rsidR="00990C62" w:rsidRPr="00CA28DC" w:rsidRDefault="00990C62" w:rsidP="00990C62">
      <w:pPr>
        <w:pStyle w:val="Betarp"/>
        <w:jc w:val="center"/>
        <w:rPr>
          <w:rFonts w:ascii="Times New Roman" w:hAnsi="Times New Roman"/>
          <w:b/>
          <w:sz w:val="24"/>
          <w:szCs w:val="24"/>
        </w:rPr>
      </w:pPr>
    </w:p>
    <w:p w14:paraId="2F691C31" w14:textId="77777777" w:rsidR="00990C62" w:rsidRPr="00CA28DC" w:rsidRDefault="00990C62" w:rsidP="00990C62">
      <w:pPr>
        <w:pStyle w:val="Betarp"/>
        <w:jc w:val="center"/>
        <w:rPr>
          <w:rFonts w:ascii="Times New Roman" w:hAnsi="Times New Roman"/>
          <w:b/>
          <w:sz w:val="24"/>
          <w:szCs w:val="24"/>
        </w:rPr>
      </w:pPr>
    </w:p>
    <w:p w14:paraId="6E6B40B7" w14:textId="77777777" w:rsidR="00990C62" w:rsidRPr="00CA28DC" w:rsidRDefault="00990C62" w:rsidP="00990C62">
      <w:pPr>
        <w:pStyle w:val="Betarp"/>
        <w:jc w:val="center"/>
        <w:rPr>
          <w:rFonts w:ascii="Times New Roman" w:hAnsi="Times New Roman"/>
          <w:b/>
          <w:sz w:val="24"/>
          <w:szCs w:val="24"/>
        </w:rPr>
      </w:pPr>
      <w:r w:rsidRPr="00CA28DC">
        <w:rPr>
          <w:rFonts w:ascii="Times New Roman" w:hAnsi="Times New Roman"/>
          <w:b/>
          <w:sz w:val="24"/>
          <w:szCs w:val="24"/>
        </w:rPr>
        <w:t>I. BENDRI DUOMENYS</w:t>
      </w:r>
    </w:p>
    <w:p w14:paraId="239EA02C" w14:textId="77777777" w:rsidR="00990C62" w:rsidRPr="00CA28DC" w:rsidRDefault="00990C62" w:rsidP="00990C62">
      <w:pPr>
        <w:pStyle w:val="Betarp"/>
        <w:jc w:val="center"/>
        <w:rPr>
          <w:rFonts w:ascii="Times New Roman" w:hAnsi="Times New Roman"/>
          <w:b/>
          <w:sz w:val="24"/>
          <w:szCs w:val="24"/>
        </w:rPr>
      </w:pPr>
    </w:p>
    <w:p w14:paraId="17737CD9" w14:textId="67A5761D" w:rsidR="00990C62" w:rsidRPr="00CA28DC" w:rsidRDefault="00990C62" w:rsidP="00990C62">
      <w:pPr>
        <w:ind w:firstLine="720"/>
        <w:jc w:val="both"/>
        <w:rPr>
          <w:sz w:val="24"/>
          <w:szCs w:val="24"/>
          <w:lang w:val="lt-LT"/>
        </w:rPr>
      </w:pPr>
      <w:r w:rsidRPr="00CA28DC">
        <w:rPr>
          <w:sz w:val="24"/>
          <w:szCs w:val="24"/>
          <w:lang w:val="lt-LT"/>
        </w:rPr>
        <w:t xml:space="preserve">Akcinė bendrovė Rokiškio butų ūkis įsteigta 1990 m. lapkričio 16 d. Bendrovės buveinė yra Nepriklausomybės a. Nr.12A, Rokiškyje. Bendrovė filialų ir atstovybių neturi. Įmonės kodas 173001047. Nuo 2017 m. birželio 12 d. bendrovė yra reorganizuojama, prijungiant ją prie AB „Rokiškio komunalininkas“. Bendrovės įstatinis kapitalas yra 62 381,90 Eur. Jis padalytas į  21 511 paprastųjų vardinių akcijų. Rokiškio rajono savivaldybei priklauso 15 164 akcijos (70,5 proc.), kitas 6 347 (29.5 proc.) akcijas valdo smulkieji akcininkai. Vienos akcijos nominali vertė – 2,90 Eur. Pagrindinis bendrovės valdymo organas yra visuotinis akcininkų susirinkimas, kolegialus valdymo organas </w:t>
      </w:r>
      <w:r w:rsidR="007960FA" w:rsidRPr="00CA28DC">
        <w:rPr>
          <w:sz w:val="24"/>
          <w:szCs w:val="24"/>
          <w:lang w:val="lt-LT"/>
        </w:rPr>
        <w:t xml:space="preserve">– </w:t>
      </w:r>
      <w:r w:rsidRPr="00CA28DC">
        <w:rPr>
          <w:sz w:val="24"/>
          <w:szCs w:val="24"/>
          <w:lang w:val="lt-LT"/>
        </w:rPr>
        <w:t xml:space="preserve">valdyba ir vienasmenis valdymo organas </w:t>
      </w:r>
      <w:r w:rsidR="007960FA" w:rsidRPr="00CA28DC">
        <w:rPr>
          <w:sz w:val="24"/>
          <w:szCs w:val="24"/>
          <w:lang w:val="lt-LT"/>
        </w:rPr>
        <w:t>–</w:t>
      </w:r>
      <w:r w:rsidRPr="00CA28DC">
        <w:rPr>
          <w:sz w:val="24"/>
          <w:szCs w:val="24"/>
          <w:lang w:val="lt-LT"/>
        </w:rPr>
        <w:t xml:space="preserve"> bendrovės vadovas. Bendrovės vadovas yra direktorius.</w:t>
      </w:r>
    </w:p>
    <w:p w14:paraId="44894189" w14:textId="77777777" w:rsidR="00990C62" w:rsidRPr="00CA28DC" w:rsidRDefault="00990C62" w:rsidP="00990C62">
      <w:pPr>
        <w:ind w:firstLine="720"/>
        <w:jc w:val="both"/>
        <w:rPr>
          <w:sz w:val="24"/>
          <w:szCs w:val="24"/>
          <w:lang w:val="lt-LT"/>
        </w:rPr>
      </w:pPr>
      <w:r w:rsidRPr="00CA28DC">
        <w:rPr>
          <w:sz w:val="24"/>
          <w:szCs w:val="24"/>
          <w:lang w:val="lt-LT"/>
        </w:rPr>
        <w:t>2020 m. balandžio mėn. pasibaigus direktoriaus kadencijai, Vladas Janulis paskirtas laikinai einančiu direktoriaus pareigas. Paskelbtas konkursas.</w:t>
      </w:r>
    </w:p>
    <w:p w14:paraId="23B91B53" w14:textId="77777777" w:rsidR="002C38D9" w:rsidRPr="00CA28DC" w:rsidRDefault="002C38D9" w:rsidP="00990C62">
      <w:pPr>
        <w:ind w:firstLine="720"/>
        <w:jc w:val="both"/>
        <w:rPr>
          <w:sz w:val="24"/>
          <w:szCs w:val="24"/>
          <w:lang w:val="lt-LT"/>
        </w:rPr>
      </w:pPr>
    </w:p>
    <w:p w14:paraId="60A40128" w14:textId="77777777" w:rsidR="00990C62" w:rsidRPr="00CA28DC" w:rsidRDefault="00990C62" w:rsidP="00990C62">
      <w:pPr>
        <w:ind w:firstLine="720"/>
        <w:jc w:val="center"/>
        <w:rPr>
          <w:b/>
          <w:sz w:val="24"/>
          <w:szCs w:val="24"/>
          <w:lang w:val="lt-LT"/>
        </w:rPr>
      </w:pPr>
      <w:r w:rsidRPr="00CA28DC">
        <w:rPr>
          <w:b/>
          <w:sz w:val="24"/>
          <w:szCs w:val="24"/>
          <w:lang w:val="lt-LT"/>
        </w:rPr>
        <w:t>II. DARBUOTOJAI IR DARBO APMOKĖJIMAS</w:t>
      </w:r>
    </w:p>
    <w:p w14:paraId="0F5A049D" w14:textId="77777777" w:rsidR="002C38D9" w:rsidRPr="00CA28DC" w:rsidRDefault="002C38D9" w:rsidP="00990C62">
      <w:pPr>
        <w:ind w:firstLine="720"/>
        <w:jc w:val="center"/>
        <w:rPr>
          <w:b/>
          <w:sz w:val="24"/>
          <w:szCs w:val="24"/>
          <w:lang w:val="lt-LT"/>
        </w:rPr>
      </w:pPr>
    </w:p>
    <w:p w14:paraId="0ECD33F3" w14:textId="77777777" w:rsidR="00990C62" w:rsidRPr="00CA28DC" w:rsidRDefault="00990C62" w:rsidP="00990C62">
      <w:pPr>
        <w:ind w:firstLine="720"/>
        <w:jc w:val="both"/>
        <w:rPr>
          <w:sz w:val="24"/>
          <w:szCs w:val="24"/>
          <w:lang w:val="lt-LT"/>
        </w:rPr>
      </w:pPr>
      <w:r w:rsidRPr="00CA28DC">
        <w:rPr>
          <w:sz w:val="24"/>
          <w:szCs w:val="24"/>
          <w:lang w:val="lt-LT"/>
        </w:rPr>
        <w:t xml:space="preserve">2020 m. gruodžio 31 d. bendrovėje sąrašinis darbuotojų skaičius buvo 31, iš jų 2 – vadovai, 8 administracijos darbuotojai, tarp kurių vienas dirba antraeilėse pareigose, 21 specialistų ir darbininkų, tarp kurių viena yra motinystės atostogose. 80 proc. administracijos darbuotojų turi aukštąjį universitetinį išsilavinimą. Nuo 2020 m. rugsėjo mėn., pradėjus administruoti Juodupės miestelio daugiabučius namus, priimti 2 nauji darbuotojai – santechnikas ir elektrikas. </w:t>
      </w:r>
    </w:p>
    <w:p w14:paraId="714EB1A3" w14:textId="77777777" w:rsidR="00990C62" w:rsidRPr="00CA28DC" w:rsidRDefault="00990C62" w:rsidP="00990C62">
      <w:pPr>
        <w:ind w:firstLine="720"/>
        <w:jc w:val="both"/>
        <w:rPr>
          <w:sz w:val="24"/>
          <w:szCs w:val="24"/>
          <w:lang w:val="lt-LT"/>
        </w:rPr>
      </w:pPr>
      <w:r w:rsidRPr="00CA28DC">
        <w:rPr>
          <w:sz w:val="24"/>
          <w:szCs w:val="24"/>
          <w:lang w:val="lt-LT"/>
        </w:rPr>
        <w:t>Dėl COVID -19 pandemijos LR Vyriausybei paskelbus karantiną bendrovės kasos nedirbo ir kasininkėms nuo 2020-03-23 iki 2020-04-27 buvo paskelbta prastova.</w:t>
      </w:r>
    </w:p>
    <w:p w14:paraId="7301BB8A" w14:textId="77777777" w:rsidR="00990C62" w:rsidRPr="00CA28DC" w:rsidRDefault="00990C62" w:rsidP="00990C62">
      <w:pPr>
        <w:ind w:firstLine="720"/>
        <w:jc w:val="both"/>
        <w:rPr>
          <w:sz w:val="24"/>
          <w:szCs w:val="24"/>
          <w:lang w:val="lt-LT"/>
        </w:rPr>
      </w:pPr>
      <w:r w:rsidRPr="00CA28DC">
        <w:rPr>
          <w:sz w:val="24"/>
          <w:szCs w:val="24"/>
          <w:lang w:val="lt-LT"/>
        </w:rPr>
        <w:t>Lentelėje pateikiame informaciją apie dirbusių darbuotojų sudėtį, vidutinį mėnesio darbo užmokestį:</w:t>
      </w:r>
    </w:p>
    <w:tbl>
      <w:tblPr>
        <w:tblStyle w:val="Lentelstinklelis"/>
        <w:tblW w:w="0" w:type="auto"/>
        <w:tblInd w:w="360" w:type="dxa"/>
        <w:tblLook w:val="04A0" w:firstRow="1" w:lastRow="0" w:firstColumn="1" w:lastColumn="0" w:noHBand="0" w:noVBand="1"/>
      </w:tblPr>
      <w:tblGrid>
        <w:gridCol w:w="3179"/>
        <w:gridCol w:w="3158"/>
        <w:gridCol w:w="3050"/>
      </w:tblGrid>
      <w:tr w:rsidR="002C38D9" w:rsidRPr="00CA28DC" w14:paraId="19EA35E3" w14:textId="77777777" w:rsidTr="002C38D9">
        <w:tc>
          <w:tcPr>
            <w:tcW w:w="3179" w:type="dxa"/>
            <w:tcBorders>
              <w:top w:val="single" w:sz="4" w:space="0" w:color="auto"/>
              <w:left w:val="single" w:sz="4" w:space="0" w:color="auto"/>
              <w:bottom w:val="single" w:sz="4" w:space="0" w:color="auto"/>
              <w:right w:val="single" w:sz="4" w:space="0" w:color="auto"/>
            </w:tcBorders>
          </w:tcPr>
          <w:p w14:paraId="24848AC1" w14:textId="77777777" w:rsidR="00990C62" w:rsidRPr="00CA28DC" w:rsidRDefault="00990C62">
            <w:pPr>
              <w:pStyle w:val="Betarp"/>
              <w:jc w:val="both"/>
              <w:rPr>
                <w:rFonts w:ascii="Times New Roman" w:hAnsi="Times New Roman"/>
                <w:sz w:val="24"/>
                <w:szCs w:val="24"/>
              </w:rPr>
            </w:pPr>
          </w:p>
        </w:tc>
        <w:tc>
          <w:tcPr>
            <w:tcW w:w="3158" w:type="dxa"/>
            <w:tcBorders>
              <w:top w:val="single" w:sz="4" w:space="0" w:color="auto"/>
              <w:left w:val="single" w:sz="4" w:space="0" w:color="auto"/>
              <w:bottom w:val="single" w:sz="4" w:space="0" w:color="auto"/>
              <w:right w:val="single" w:sz="4" w:space="0" w:color="auto"/>
            </w:tcBorders>
            <w:hideMark/>
          </w:tcPr>
          <w:p w14:paraId="0BCBDE11"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Darbuotojų skaičius</w:t>
            </w:r>
          </w:p>
        </w:tc>
        <w:tc>
          <w:tcPr>
            <w:tcW w:w="3050" w:type="dxa"/>
            <w:tcBorders>
              <w:top w:val="single" w:sz="4" w:space="0" w:color="auto"/>
              <w:left w:val="single" w:sz="4" w:space="0" w:color="auto"/>
              <w:bottom w:val="single" w:sz="4" w:space="0" w:color="auto"/>
              <w:right w:val="single" w:sz="4" w:space="0" w:color="auto"/>
            </w:tcBorders>
            <w:hideMark/>
          </w:tcPr>
          <w:p w14:paraId="2712DE63"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Vidutinis  mėnesio darbo užmokestis EUR</w:t>
            </w:r>
          </w:p>
        </w:tc>
      </w:tr>
      <w:tr w:rsidR="002C38D9" w:rsidRPr="00CA28DC" w14:paraId="7A43DAAF" w14:textId="77777777" w:rsidTr="002C38D9">
        <w:tc>
          <w:tcPr>
            <w:tcW w:w="3179" w:type="dxa"/>
            <w:tcBorders>
              <w:top w:val="single" w:sz="4" w:space="0" w:color="auto"/>
              <w:left w:val="single" w:sz="4" w:space="0" w:color="auto"/>
              <w:bottom w:val="single" w:sz="4" w:space="0" w:color="auto"/>
              <w:right w:val="single" w:sz="4" w:space="0" w:color="auto"/>
            </w:tcBorders>
            <w:hideMark/>
          </w:tcPr>
          <w:p w14:paraId="4922089A"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Vadovai</w:t>
            </w:r>
          </w:p>
        </w:tc>
        <w:tc>
          <w:tcPr>
            <w:tcW w:w="3158" w:type="dxa"/>
            <w:tcBorders>
              <w:top w:val="single" w:sz="4" w:space="0" w:color="auto"/>
              <w:left w:val="single" w:sz="4" w:space="0" w:color="auto"/>
              <w:bottom w:val="single" w:sz="4" w:space="0" w:color="auto"/>
              <w:right w:val="single" w:sz="4" w:space="0" w:color="auto"/>
            </w:tcBorders>
            <w:hideMark/>
          </w:tcPr>
          <w:p w14:paraId="39B0CC32"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2</w:t>
            </w:r>
          </w:p>
        </w:tc>
        <w:tc>
          <w:tcPr>
            <w:tcW w:w="3050" w:type="dxa"/>
            <w:tcBorders>
              <w:top w:val="single" w:sz="4" w:space="0" w:color="auto"/>
              <w:left w:val="single" w:sz="4" w:space="0" w:color="auto"/>
              <w:bottom w:val="single" w:sz="4" w:space="0" w:color="auto"/>
              <w:right w:val="single" w:sz="4" w:space="0" w:color="auto"/>
            </w:tcBorders>
            <w:hideMark/>
          </w:tcPr>
          <w:p w14:paraId="4E96623F" w14:textId="77777777" w:rsidR="00990C62" w:rsidRPr="00CA28DC" w:rsidRDefault="00990C62">
            <w:pPr>
              <w:pStyle w:val="Betarp"/>
              <w:jc w:val="center"/>
              <w:rPr>
                <w:rFonts w:ascii="Times New Roman" w:hAnsi="Times New Roman"/>
                <w:sz w:val="24"/>
                <w:szCs w:val="24"/>
                <w:highlight w:val="yellow"/>
              </w:rPr>
            </w:pPr>
            <w:r w:rsidRPr="00CA28DC">
              <w:rPr>
                <w:rFonts w:ascii="Times New Roman" w:hAnsi="Times New Roman"/>
                <w:sz w:val="24"/>
                <w:szCs w:val="24"/>
              </w:rPr>
              <w:t>1863</w:t>
            </w:r>
          </w:p>
        </w:tc>
      </w:tr>
      <w:tr w:rsidR="002C38D9" w:rsidRPr="00CA28DC" w14:paraId="2ED8251B" w14:textId="77777777" w:rsidTr="002C38D9">
        <w:tc>
          <w:tcPr>
            <w:tcW w:w="3179" w:type="dxa"/>
            <w:tcBorders>
              <w:top w:val="single" w:sz="4" w:space="0" w:color="auto"/>
              <w:left w:val="single" w:sz="4" w:space="0" w:color="auto"/>
              <w:bottom w:val="single" w:sz="4" w:space="0" w:color="auto"/>
              <w:right w:val="single" w:sz="4" w:space="0" w:color="auto"/>
            </w:tcBorders>
            <w:hideMark/>
          </w:tcPr>
          <w:p w14:paraId="18295693"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Administracija</w:t>
            </w:r>
          </w:p>
        </w:tc>
        <w:tc>
          <w:tcPr>
            <w:tcW w:w="3158" w:type="dxa"/>
            <w:tcBorders>
              <w:top w:val="single" w:sz="4" w:space="0" w:color="auto"/>
              <w:left w:val="single" w:sz="4" w:space="0" w:color="auto"/>
              <w:bottom w:val="single" w:sz="4" w:space="0" w:color="auto"/>
              <w:right w:val="single" w:sz="4" w:space="0" w:color="auto"/>
            </w:tcBorders>
            <w:hideMark/>
          </w:tcPr>
          <w:p w14:paraId="04EB0791"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8</w:t>
            </w:r>
          </w:p>
        </w:tc>
        <w:tc>
          <w:tcPr>
            <w:tcW w:w="3050" w:type="dxa"/>
            <w:tcBorders>
              <w:top w:val="single" w:sz="4" w:space="0" w:color="auto"/>
              <w:left w:val="single" w:sz="4" w:space="0" w:color="auto"/>
              <w:bottom w:val="single" w:sz="4" w:space="0" w:color="auto"/>
              <w:right w:val="single" w:sz="4" w:space="0" w:color="auto"/>
            </w:tcBorders>
            <w:hideMark/>
          </w:tcPr>
          <w:p w14:paraId="478E0810" w14:textId="77777777" w:rsidR="00990C62" w:rsidRPr="00CA28DC" w:rsidRDefault="00990C62">
            <w:pPr>
              <w:pStyle w:val="Betarp"/>
              <w:jc w:val="center"/>
              <w:rPr>
                <w:rFonts w:ascii="Times New Roman" w:hAnsi="Times New Roman"/>
                <w:sz w:val="24"/>
                <w:szCs w:val="24"/>
                <w:highlight w:val="yellow"/>
              </w:rPr>
            </w:pPr>
            <w:r w:rsidRPr="00CA28DC">
              <w:rPr>
                <w:rFonts w:ascii="Times New Roman" w:hAnsi="Times New Roman"/>
                <w:sz w:val="24"/>
                <w:szCs w:val="24"/>
              </w:rPr>
              <w:t>1183</w:t>
            </w:r>
          </w:p>
        </w:tc>
      </w:tr>
      <w:tr w:rsidR="002C38D9" w:rsidRPr="00CA28DC" w14:paraId="65C4447D" w14:textId="77777777" w:rsidTr="002C38D9">
        <w:tc>
          <w:tcPr>
            <w:tcW w:w="3179" w:type="dxa"/>
            <w:tcBorders>
              <w:top w:val="single" w:sz="4" w:space="0" w:color="auto"/>
              <w:left w:val="single" w:sz="4" w:space="0" w:color="auto"/>
              <w:bottom w:val="single" w:sz="4" w:space="0" w:color="auto"/>
              <w:right w:val="single" w:sz="4" w:space="0" w:color="auto"/>
            </w:tcBorders>
            <w:hideMark/>
          </w:tcPr>
          <w:p w14:paraId="351447BD"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Kasininkės</w:t>
            </w:r>
          </w:p>
        </w:tc>
        <w:tc>
          <w:tcPr>
            <w:tcW w:w="3158" w:type="dxa"/>
            <w:tcBorders>
              <w:top w:val="single" w:sz="4" w:space="0" w:color="auto"/>
              <w:left w:val="single" w:sz="4" w:space="0" w:color="auto"/>
              <w:bottom w:val="single" w:sz="4" w:space="0" w:color="auto"/>
              <w:right w:val="single" w:sz="4" w:space="0" w:color="auto"/>
            </w:tcBorders>
            <w:hideMark/>
          </w:tcPr>
          <w:p w14:paraId="6610E9B6"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3</w:t>
            </w:r>
          </w:p>
        </w:tc>
        <w:tc>
          <w:tcPr>
            <w:tcW w:w="3050" w:type="dxa"/>
            <w:tcBorders>
              <w:top w:val="single" w:sz="4" w:space="0" w:color="auto"/>
              <w:left w:val="single" w:sz="4" w:space="0" w:color="auto"/>
              <w:bottom w:val="single" w:sz="4" w:space="0" w:color="auto"/>
              <w:right w:val="single" w:sz="4" w:space="0" w:color="auto"/>
            </w:tcBorders>
            <w:hideMark/>
          </w:tcPr>
          <w:p w14:paraId="31E2D2F8"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812</w:t>
            </w:r>
          </w:p>
        </w:tc>
      </w:tr>
      <w:tr w:rsidR="002C38D9" w:rsidRPr="00CA28DC" w14:paraId="0B291754" w14:textId="77777777" w:rsidTr="002C38D9">
        <w:tc>
          <w:tcPr>
            <w:tcW w:w="3179" w:type="dxa"/>
            <w:tcBorders>
              <w:top w:val="single" w:sz="4" w:space="0" w:color="auto"/>
              <w:left w:val="single" w:sz="4" w:space="0" w:color="auto"/>
              <w:bottom w:val="single" w:sz="4" w:space="0" w:color="auto"/>
              <w:right w:val="single" w:sz="4" w:space="0" w:color="auto"/>
            </w:tcBorders>
            <w:hideMark/>
          </w:tcPr>
          <w:p w14:paraId="35846BCB"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Liftininkai</w:t>
            </w:r>
          </w:p>
        </w:tc>
        <w:tc>
          <w:tcPr>
            <w:tcW w:w="3158" w:type="dxa"/>
            <w:tcBorders>
              <w:top w:val="single" w:sz="4" w:space="0" w:color="auto"/>
              <w:left w:val="single" w:sz="4" w:space="0" w:color="auto"/>
              <w:bottom w:val="single" w:sz="4" w:space="0" w:color="auto"/>
              <w:right w:val="single" w:sz="4" w:space="0" w:color="auto"/>
            </w:tcBorders>
            <w:hideMark/>
          </w:tcPr>
          <w:p w14:paraId="3428124E"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3</w:t>
            </w:r>
          </w:p>
        </w:tc>
        <w:tc>
          <w:tcPr>
            <w:tcW w:w="3050" w:type="dxa"/>
            <w:tcBorders>
              <w:top w:val="single" w:sz="4" w:space="0" w:color="auto"/>
              <w:left w:val="single" w:sz="4" w:space="0" w:color="auto"/>
              <w:bottom w:val="single" w:sz="4" w:space="0" w:color="auto"/>
              <w:right w:val="single" w:sz="4" w:space="0" w:color="auto"/>
            </w:tcBorders>
            <w:hideMark/>
          </w:tcPr>
          <w:p w14:paraId="0052FFB9"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814</w:t>
            </w:r>
          </w:p>
        </w:tc>
      </w:tr>
      <w:tr w:rsidR="002C38D9" w:rsidRPr="00CA28DC" w14:paraId="42A4DF2D" w14:textId="77777777" w:rsidTr="002C38D9">
        <w:tc>
          <w:tcPr>
            <w:tcW w:w="3179" w:type="dxa"/>
            <w:tcBorders>
              <w:top w:val="single" w:sz="4" w:space="0" w:color="auto"/>
              <w:left w:val="single" w:sz="4" w:space="0" w:color="auto"/>
              <w:bottom w:val="single" w:sz="4" w:space="0" w:color="auto"/>
              <w:right w:val="single" w:sz="4" w:space="0" w:color="auto"/>
            </w:tcBorders>
            <w:hideMark/>
          </w:tcPr>
          <w:p w14:paraId="4270B10E"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 xml:space="preserve">Santechnikai </w:t>
            </w:r>
          </w:p>
        </w:tc>
        <w:tc>
          <w:tcPr>
            <w:tcW w:w="3158" w:type="dxa"/>
            <w:tcBorders>
              <w:top w:val="single" w:sz="4" w:space="0" w:color="auto"/>
              <w:left w:val="single" w:sz="4" w:space="0" w:color="auto"/>
              <w:bottom w:val="single" w:sz="4" w:space="0" w:color="auto"/>
              <w:right w:val="single" w:sz="4" w:space="0" w:color="auto"/>
            </w:tcBorders>
            <w:hideMark/>
          </w:tcPr>
          <w:p w14:paraId="78454F7F"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8</w:t>
            </w:r>
          </w:p>
        </w:tc>
        <w:tc>
          <w:tcPr>
            <w:tcW w:w="3050" w:type="dxa"/>
            <w:tcBorders>
              <w:top w:val="single" w:sz="4" w:space="0" w:color="auto"/>
              <w:left w:val="single" w:sz="4" w:space="0" w:color="auto"/>
              <w:bottom w:val="single" w:sz="4" w:space="0" w:color="auto"/>
              <w:right w:val="single" w:sz="4" w:space="0" w:color="auto"/>
            </w:tcBorders>
            <w:hideMark/>
          </w:tcPr>
          <w:p w14:paraId="1607C1DC"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886</w:t>
            </w:r>
          </w:p>
        </w:tc>
      </w:tr>
      <w:tr w:rsidR="002C38D9" w:rsidRPr="00CA28DC" w14:paraId="043CB426" w14:textId="77777777" w:rsidTr="002C38D9">
        <w:tc>
          <w:tcPr>
            <w:tcW w:w="3179" w:type="dxa"/>
            <w:tcBorders>
              <w:top w:val="single" w:sz="4" w:space="0" w:color="auto"/>
              <w:left w:val="single" w:sz="4" w:space="0" w:color="auto"/>
              <w:bottom w:val="single" w:sz="4" w:space="0" w:color="auto"/>
              <w:right w:val="single" w:sz="4" w:space="0" w:color="auto"/>
            </w:tcBorders>
            <w:hideMark/>
          </w:tcPr>
          <w:p w14:paraId="4A129B69"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Elektrikai</w:t>
            </w:r>
          </w:p>
        </w:tc>
        <w:tc>
          <w:tcPr>
            <w:tcW w:w="3158" w:type="dxa"/>
            <w:tcBorders>
              <w:top w:val="single" w:sz="4" w:space="0" w:color="auto"/>
              <w:left w:val="single" w:sz="4" w:space="0" w:color="auto"/>
              <w:bottom w:val="single" w:sz="4" w:space="0" w:color="auto"/>
              <w:right w:val="single" w:sz="4" w:space="0" w:color="auto"/>
            </w:tcBorders>
            <w:hideMark/>
          </w:tcPr>
          <w:p w14:paraId="46E0F1B9"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3</w:t>
            </w:r>
          </w:p>
        </w:tc>
        <w:tc>
          <w:tcPr>
            <w:tcW w:w="3050" w:type="dxa"/>
            <w:tcBorders>
              <w:top w:val="single" w:sz="4" w:space="0" w:color="auto"/>
              <w:left w:val="single" w:sz="4" w:space="0" w:color="auto"/>
              <w:bottom w:val="single" w:sz="4" w:space="0" w:color="auto"/>
              <w:right w:val="single" w:sz="4" w:space="0" w:color="auto"/>
            </w:tcBorders>
            <w:hideMark/>
          </w:tcPr>
          <w:p w14:paraId="3EA6133C"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850</w:t>
            </w:r>
          </w:p>
        </w:tc>
      </w:tr>
      <w:tr w:rsidR="002C38D9" w:rsidRPr="00CA28DC" w14:paraId="5489BF1D" w14:textId="77777777" w:rsidTr="002C38D9">
        <w:tc>
          <w:tcPr>
            <w:tcW w:w="3179" w:type="dxa"/>
            <w:tcBorders>
              <w:top w:val="single" w:sz="4" w:space="0" w:color="auto"/>
              <w:left w:val="single" w:sz="4" w:space="0" w:color="auto"/>
              <w:bottom w:val="single" w:sz="4" w:space="0" w:color="auto"/>
              <w:right w:val="single" w:sz="4" w:space="0" w:color="auto"/>
            </w:tcBorders>
            <w:hideMark/>
          </w:tcPr>
          <w:p w14:paraId="27D7D6FE"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Darbininkai</w:t>
            </w:r>
          </w:p>
        </w:tc>
        <w:tc>
          <w:tcPr>
            <w:tcW w:w="3158" w:type="dxa"/>
            <w:tcBorders>
              <w:top w:val="single" w:sz="4" w:space="0" w:color="auto"/>
              <w:left w:val="single" w:sz="4" w:space="0" w:color="auto"/>
              <w:bottom w:val="single" w:sz="4" w:space="0" w:color="auto"/>
              <w:right w:val="single" w:sz="4" w:space="0" w:color="auto"/>
            </w:tcBorders>
            <w:hideMark/>
          </w:tcPr>
          <w:p w14:paraId="1E5FA92A"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3</w:t>
            </w:r>
          </w:p>
        </w:tc>
        <w:tc>
          <w:tcPr>
            <w:tcW w:w="3050" w:type="dxa"/>
            <w:tcBorders>
              <w:top w:val="single" w:sz="4" w:space="0" w:color="auto"/>
              <w:left w:val="single" w:sz="4" w:space="0" w:color="auto"/>
              <w:bottom w:val="single" w:sz="4" w:space="0" w:color="auto"/>
              <w:right w:val="single" w:sz="4" w:space="0" w:color="auto"/>
            </w:tcBorders>
            <w:hideMark/>
          </w:tcPr>
          <w:p w14:paraId="56E97065"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978</w:t>
            </w:r>
          </w:p>
        </w:tc>
      </w:tr>
      <w:tr w:rsidR="002C38D9" w:rsidRPr="00CA28DC" w14:paraId="09F5853E" w14:textId="77777777" w:rsidTr="002C38D9">
        <w:tc>
          <w:tcPr>
            <w:tcW w:w="3179" w:type="dxa"/>
            <w:tcBorders>
              <w:top w:val="single" w:sz="4" w:space="0" w:color="auto"/>
              <w:left w:val="single" w:sz="4" w:space="0" w:color="auto"/>
              <w:bottom w:val="single" w:sz="4" w:space="0" w:color="auto"/>
              <w:right w:val="single" w:sz="4" w:space="0" w:color="auto"/>
            </w:tcBorders>
            <w:hideMark/>
          </w:tcPr>
          <w:p w14:paraId="43758F01" w14:textId="77777777" w:rsidR="00990C62" w:rsidRPr="00CA28DC" w:rsidRDefault="00990C62">
            <w:pPr>
              <w:pStyle w:val="Betarp"/>
              <w:jc w:val="both"/>
              <w:rPr>
                <w:rFonts w:ascii="Times New Roman" w:hAnsi="Times New Roman"/>
                <w:b/>
                <w:sz w:val="24"/>
                <w:szCs w:val="24"/>
              </w:rPr>
            </w:pPr>
            <w:r w:rsidRPr="00CA28DC">
              <w:rPr>
                <w:rFonts w:ascii="Times New Roman" w:hAnsi="Times New Roman"/>
                <w:b/>
                <w:sz w:val="24"/>
                <w:szCs w:val="24"/>
              </w:rPr>
              <w:t>Iš viso</w:t>
            </w:r>
          </w:p>
        </w:tc>
        <w:tc>
          <w:tcPr>
            <w:tcW w:w="3158" w:type="dxa"/>
            <w:tcBorders>
              <w:top w:val="single" w:sz="4" w:space="0" w:color="auto"/>
              <w:left w:val="single" w:sz="4" w:space="0" w:color="auto"/>
              <w:bottom w:val="single" w:sz="4" w:space="0" w:color="auto"/>
              <w:right w:val="single" w:sz="4" w:space="0" w:color="auto"/>
            </w:tcBorders>
            <w:hideMark/>
          </w:tcPr>
          <w:p w14:paraId="0FFC008B" w14:textId="77777777" w:rsidR="00990C62" w:rsidRPr="00CA28DC" w:rsidRDefault="00990C62">
            <w:pPr>
              <w:pStyle w:val="Betarp"/>
              <w:jc w:val="center"/>
              <w:rPr>
                <w:rFonts w:ascii="Times New Roman" w:hAnsi="Times New Roman"/>
                <w:b/>
                <w:sz w:val="24"/>
                <w:szCs w:val="24"/>
              </w:rPr>
            </w:pPr>
            <w:r w:rsidRPr="00CA28DC">
              <w:rPr>
                <w:rFonts w:ascii="Times New Roman" w:hAnsi="Times New Roman"/>
                <w:b/>
                <w:sz w:val="24"/>
                <w:szCs w:val="24"/>
              </w:rPr>
              <w:t>30</w:t>
            </w:r>
          </w:p>
        </w:tc>
        <w:tc>
          <w:tcPr>
            <w:tcW w:w="3050" w:type="dxa"/>
            <w:tcBorders>
              <w:top w:val="single" w:sz="4" w:space="0" w:color="auto"/>
              <w:left w:val="single" w:sz="4" w:space="0" w:color="auto"/>
              <w:bottom w:val="single" w:sz="4" w:space="0" w:color="auto"/>
              <w:right w:val="single" w:sz="4" w:space="0" w:color="auto"/>
            </w:tcBorders>
          </w:tcPr>
          <w:p w14:paraId="51AD8C8B" w14:textId="77777777" w:rsidR="00990C62" w:rsidRPr="00CA28DC" w:rsidRDefault="00990C62">
            <w:pPr>
              <w:pStyle w:val="Betarp"/>
              <w:jc w:val="center"/>
              <w:rPr>
                <w:rFonts w:ascii="Times New Roman" w:hAnsi="Times New Roman"/>
                <w:sz w:val="24"/>
                <w:szCs w:val="24"/>
              </w:rPr>
            </w:pPr>
          </w:p>
        </w:tc>
      </w:tr>
    </w:tbl>
    <w:p w14:paraId="2B055FB6" w14:textId="77777777" w:rsidR="00990C62" w:rsidRPr="00CA28DC" w:rsidRDefault="00990C62" w:rsidP="00990C62">
      <w:pPr>
        <w:pStyle w:val="Betarp"/>
        <w:jc w:val="both"/>
        <w:rPr>
          <w:rFonts w:ascii="Times New Roman" w:hAnsi="Times New Roman"/>
          <w:sz w:val="24"/>
          <w:szCs w:val="24"/>
        </w:rPr>
      </w:pPr>
      <w:r w:rsidRPr="00CA28DC">
        <w:rPr>
          <w:rFonts w:ascii="Times New Roman" w:hAnsi="Times New Roman"/>
          <w:sz w:val="24"/>
          <w:szCs w:val="24"/>
        </w:rPr>
        <w:t xml:space="preserve">            </w:t>
      </w:r>
    </w:p>
    <w:p w14:paraId="083587D6" w14:textId="3E8C5E55" w:rsidR="00990C62" w:rsidRPr="00CA28DC" w:rsidRDefault="007960FA" w:rsidP="00990C62">
      <w:pPr>
        <w:pStyle w:val="Betarp"/>
        <w:jc w:val="both"/>
        <w:rPr>
          <w:rFonts w:ascii="Times New Roman" w:hAnsi="Times New Roman"/>
          <w:sz w:val="24"/>
          <w:szCs w:val="24"/>
        </w:rPr>
      </w:pPr>
      <w:r w:rsidRPr="00CA28DC">
        <w:rPr>
          <w:rFonts w:ascii="Times New Roman" w:hAnsi="Times New Roman"/>
          <w:sz w:val="24"/>
          <w:szCs w:val="24"/>
        </w:rPr>
        <w:tab/>
      </w:r>
      <w:r w:rsidR="00990C62" w:rsidRPr="00CA28DC">
        <w:rPr>
          <w:rFonts w:ascii="Times New Roman" w:hAnsi="Times New Roman"/>
          <w:sz w:val="24"/>
          <w:szCs w:val="24"/>
        </w:rPr>
        <w:t>2020 metų bendrovės vidutinis darbuotojų skaičius 29 , darbuotojų vidutinis mėnesinis darbo užmokestis 1055 eurų.</w:t>
      </w:r>
    </w:p>
    <w:p w14:paraId="4F79A3D1" w14:textId="77777777" w:rsidR="00990C62" w:rsidRPr="00CA28DC" w:rsidRDefault="00990C62" w:rsidP="002C38D9">
      <w:pPr>
        <w:pStyle w:val="Betarp"/>
        <w:rPr>
          <w:rFonts w:ascii="Times New Roman" w:hAnsi="Times New Roman"/>
          <w:b/>
          <w:sz w:val="24"/>
          <w:szCs w:val="24"/>
        </w:rPr>
      </w:pPr>
    </w:p>
    <w:p w14:paraId="088E68FD" w14:textId="77777777" w:rsidR="00990C62" w:rsidRPr="00CA28DC" w:rsidRDefault="00990C62" w:rsidP="00990C62">
      <w:pPr>
        <w:pStyle w:val="Betarp"/>
        <w:jc w:val="center"/>
        <w:rPr>
          <w:rFonts w:ascii="Times New Roman" w:hAnsi="Times New Roman"/>
          <w:b/>
          <w:sz w:val="24"/>
          <w:szCs w:val="24"/>
        </w:rPr>
      </w:pPr>
      <w:r w:rsidRPr="00CA28DC">
        <w:rPr>
          <w:rFonts w:ascii="Times New Roman" w:hAnsi="Times New Roman"/>
          <w:b/>
          <w:sz w:val="24"/>
          <w:szCs w:val="24"/>
        </w:rPr>
        <w:t>III. TURTAS</w:t>
      </w:r>
    </w:p>
    <w:p w14:paraId="5A5E6024" w14:textId="77777777" w:rsidR="00990C62" w:rsidRPr="00CA28DC" w:rsidRDefault="00990C62" w:rsidP="00990C62">
      <w:pPr>
        <w:pStyle w:val="Betarp"/>
        <w:jc w:val="center"/>
        <w:rPr>
          <w:rFonts w:ascii="Times New Roman" w:hAnsi="Times New Roman"/>
          <w:b/>
          <w:sz w:val="24"/>
          <w:szCs w:val="24"/>
        </w:rPr>
      </w:pPr>
    </w:p>
    <w:p w14:paraId="719B21B0" w14:textId="6524E8D6" w:rsidR="00990C62" w:rsidRDefault="00186D20" w:rsidP="00990C62">
      <w:pPr>
        <w:pStyle w:val="Betarp"/>
        <w:jc w:val="both"/>
        <w:rPr>
          <w:rFonts w:ascii="Times New Roman" w:hAnsi="Times New Roman"/>
          <w:sz w:val="24"/>
          <w:szCs w:val="24"/>
        </w:rPr>
      </w:pPr>
      <w:r w:rsidRPr="00CA28DC">
        <w:rPr>
          <w:rFonts w:ascii="Times New Roman" w:hAnsi="Times New Roman"/>
          <w:sz w:val="24"/>
          <w:szCs w:val="24"/>
        </w:rPr>
        <w:tab/>
      </w:r>
      <w:r w:rsidR="00990C62" w:rsidRPr="00CA28DC">
        <w:rPr>
          <w:rFonts w:ascii="Times New Roman" w:hAnsi="Times New Roman"/>
          <w:sz w:val="24"/>
          <w:szCs w:val="24"/>
        </w:rPr>
        <w:t xml:space="preserve">Ilgalaikio materialaus turto likutinė vertė 2020 metų pradžioje – 5194 Eur. Jį sudarė: </w:t>
      </w:r>
    </w:p>
    <w:p w14:paraId="043F0B6B" w14:textId="77777777" w:rsidR="00126F37" w:rsidRPr="00CA28DC" w:rsidRDefault="00126F37" w:rsidP="00990C62">
      <w:pPr>
        <w:pStyle w:val="Betarp"/>
        <w:jc w:val="both"/>
        <w:rPr>
          <w:rFonts w:ascii="Times New Roman" w:hAnsi="Times New Roman"/>
          <w:sz w:val="24"/>
          <w:szCs w:val="24"/>
        </w:rPr>
      </w:pPr>
    </w:p>
    <w:p w14:paraId="67684A41" w14:textId="77777777" w:rsidR="00990C62" w:rsidRPr="00CA28DC" w:rsidRDefault="00990C62" w:rsidP="00990C62">
      <w:pPr>
        <w:pStyle w:val="Betarp"/>
        <w:jc w:val="both"/>
        <w:rPr>
          <w:rFonts w:ascii="Times New Roman" w:hAnsi="Times New Roman"/>
          <w:sz w:val="24"/>
          <w:szCs w:val="24"/>
        </w:rPr>
      </w:pPr>
    </w:p>
    <w:tbl>
      <w:tblPr>
        <w:tblStyle w:val="Lentelstinklelis"/>
        <w:tblW w:w="0" w:type="auto"/>
        <w:tblInd w:w="392" w:type="dxa"/>
        <w:tblLayout w:type="fixed"/>
        <w:tblLook w:val="04A0" w:firstRow="1" w:lastRow="0" w:firstColumn="1" w:lastColumn="0" w:noHBand="0" w:noVBand="1"/>
      </w:tblPr>
      <w:tblGrid>
        <w:gridCol w:w="4326"/>
        <w:gridCol w:w="1769"/>
        <w:gridCol w:w="1843"/>
        <w:gridCol w:w="1417"/>
      </w:tblGrid>
      <w:tr w:rsidR="002C38D9" w:rsidRPr="00CA28DC" w14:paraId="71CF9A47" w14:textId="77777777" w:rsidTr="002C38D9">
        <w:tc>
          <w:tcPr>
            <w:tcW w:w="4326" w:type="dxa"/>
            <w:tcBorders>
              <w:top w:val="single" w:sz="4" w:space="0" w:color="auto"/>
              <w:left w:val="single" w:sz="4" w:space="0" w:color="auto"/>
              <w:bottom w:val="single" w:sz="4" w:space="0" w:color="auto"/>
              <w:right w:val="single" w:sz="4" w:space="0" w:color="auto"/>
            </w:tcBorders>
            <w:hideMark/>
          </w:tcPr>
          <w:p w14:paraId="26F5A06B"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lastRenderedPageBreak/>
              <w:t>Ilgalaikis materialus turtas</w:t>
            </w:r>
          </w:p>
        </w:tc>
        <w:tc>
          <w:tcPr>
            <w:tcW w:w="1769" w:type="dxa"/>
            <w:tcBorders>
              <w:top w:val="single" w:sz="4" w:space="0" w:color="auto"/>
              <w:left w:val="single" w:sz="4" w:space="0" w:color="auto"/>
              <w:bottom w:val="single" w:sz="4" w:space="0" w:color="auto"/>
              <w:right w:val="single" w:sz="4" w:space="0" w:color="auto"/>
            </w:tcBorders>
            <w:hideMark/>
          </w:tcPr>
          <w:p w14:paraId="3817E590"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Įsigijimo savikaina Eur</w:t>
            </w:r>
          </w:p>
        </w:tc>
        <w:tc>
          <w:tcPr>
            <w:tcW w:w="1843" w:type="dxa"/>
            <w:tcBorders>
              <w:top w:val="single" w:sz="4" w:space="0" w:color="auto"/>
              <w:left w:val="single" w:sz="4" w:space="0" w:color="auto"/>
              <w:bottom w:val="single" w:sz="4" w:space="0" w:color="auto"/>
              <w:right w:val="single" w:sz="4" w:space="0" w:color="auto"/>
            </w:tcBorders>
            <w:hideMark/>
          </w:tcPr>
          <w:p w14:paraId="07CEA41A"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Nusidėvėjimas Eur</w:t>
            </w:r>
          </w:p>
        </w:tc>
        <w:tc>
          <w:tcPr>
            <w:tcW w:w="1417" w:type="dxa"/>
            <w:tcBorders>
              <w:top w:val="single" w:sz="4" w:space="0" w:color="auto"/>
              <w:left w:val="single" w:sz="4" w:space="0" w:color="auto"/>
              <w:bottom w:val="single" w:sz="4" w:space="0" w:color="auto"/>
              <w:right w:val="single" w:sz="4" w:space="0" w:color="auto"/>
            </w:tcBorders>
            <w:hideMark/>
          </w:tcPr>
          <w:p w14:paraId="1D7A244F"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Nusidėvėjimo  proc.</w:t>
            </w:r>
          </w:p>
        </w:tc>
      </w:tr>
      <w:tr w:rsidR="002C38D9" w:rsidRPr="00CA28DC" w14:paraId="742939AD" w14:textId="77777777" w:rsidTr="002C38D9">
        <w:tc>
          <w:tcPr>
            <w:tcW w:w="4326" w:type="dxa"/>
            <w:tcBorders>
              <w:top w:val="single" w:sz="4" w:space="0" w:color="auto"/>
              <w:left w:val="single" w:sz="4" w:space="0" w:color="auto"/>
              <w:bottom w:val="single" w:sz="4" w:space="0" w:color="auto"/>
              <w:right w:val="single" w:sz="4" w:space="0" w:color="auto"/>
            </w:tcBorders>
            <w:hideMark/>
          </w:tcPr>
          <w:p w14:paraId="445E7CBF"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Pastatai ir statiniai</w:t>
            </w:r>
          </w:p>
        </w:tc>
        <w:tc>
          <w:tcPr>
            <w:tcW w:w="1769" w:type="dxa"/>
            <w:tcBorders>
              <w:top w:val="single" w:sz="4" w:space="0" w:color="auto"/>
              <w:left w:val="single" w:sz="4" w:space="0" w:color="auto"/>
              <w:bottom w:val="single" w:sz="4" w:space="0" w:color="auto"/>
              <w:right w:val="single" w:sz="4" w:space="0" w:color="auto"/>
            </w:tcBorders>
            <w:hideMark/>
          </w:tcPr>
          <w:p w14:paraId="77E4750A"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40 509</w:t>
            </w:r>
          </w:p>
        </w:tc>
        <w:tc>
          <w:tcPr>
            <w:tcW w:w="1843" w:type="dxa"/>
            <w:tcBorders>
              <w:top w:val="single" w:sz="4" w:space="0" w:color="auto"/>
              <w:left w:val="single" w:sz="4" w:space="0" w:color="auto"/>
              <w:bottom w:val="single" w:sz="4" w:space="0" w:color="auto"/>
              <w:right w:val="single" w:sz="4" w:space="0" w:color="auto"/>
            </w:tcBorders>
            <w:hideMark/>
          </w:tcPr>
          <w:p w14:paraId="126AEFAE"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40 508</w:t>
            </w:r>
          </w:p>
        </w:tc>
        <w:tc>
          <w:tcPr>
            <w:tcW w:w="1417" w:type="dxa"/>
            <w:tcBorders>
              <w:top w:val="single" w:sz="4" w:space="0" w:color="auto"/>
              <w:left w:val="single" w:sz="4" w:space="0" w:color="auto"/>
              <w:bottom w:val="single" w:sz="4" w:space="0" w:color="auto"/>
              <w:right w:val="single" w:sz="4" w:space="0" w:color="auto"/>
            </w:tcBorders>
            <w:hideMark/>
          </w:tcPr>
          <w:p w14:paraId="2B79A12E"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99,9</w:t>
            </w:r>
          </w:p>
        </w:tc>
      </w:tr>
      <w:tr w:rsidR="002C38D9" w:rsidRPr="00CA28DC" w14:paraId="55AFD3F9" w14:textId="77777777" w:rsidTr="002C38D9">
        <w:tc>
          <w:tcPr>
            <w:tcW w:w="4326" w:type="dxa"/>
            <w:tcBorders>
              <w:top w:val="single" w:sz="4" w:space="0" w:color="auto"/>
              <w:left w:val="single" w:sz="4" w:space="0" w:color="auto"/>
              <w:bottom w:val="single" w:sz="4" w:space="0" w:color="auto"/>
              <w:right w:val="single" w:sz="4" w:space="0" w:color="auto"/>
            </w:tcBorders>
            <w:hideMark/>
          </w:tcPr>
          <w:p w14:paraId="6C968520"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Transporto priemonės</w:t>
            </w:r>
          </w:p>
        </w:tc>
        <w:tc>
          <w:tcPr>
            <w:tcW w:w="1769" w:type="dxa"/>
            <w:tcBorders>
              <w:top w:val="single" w:sz="4" w:space="0" w:color="auto"/>
              <w:left w:val="single" w:sz="4" w:space="0" w:color="auto"/>
              <w:bottom w:val="single" w:sz="4" w:space="0" w:color="auto"/>
              <w:right w:val="single" w:sz="4" w:space="0" w:color="auto"/>
            </w:tcBorders>
            <w:hideMark/>
          </w:tcPr>
          <w:p w14:paraId="657E1063"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17 144</w:t>
            </w:r>
          </w:p>
        </w:tc>
        <w:tc>
          <w:tcPr>
            <w:tcW w:w="1843" w:type="dxa"/>
            <w:tcBorders>
              <w:top w:val="single" w:sz="4" w:space="0" w:color="auto"/>
              <w:left w:val="single" w:sz="4" w:space="0" w:color="auto"/>
              <w:bottom w:val="single" w:sz="4" w:space="0" w:color="auto"/>
              <w:right w:val="single" w:sz="4" w:space="0" w:color="auto"/>
            </w:tcBorders>
            <w:hideMark/>
          </w:tcPr>
          <w:p w14:paraId="3047983B"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12 698</w:t>
            </w:r>
          </w:p>
        </w:tc>
        <w:tc>
          <w:tcPr>
            <w:tcW w:w="1417" w:type="dxa"/>
            <w:tcBorders>
              <w:top w:val="single" w:sz="4" w:space="0" w:color="auto"/>
              <w:left w:val="single" w:sz="4" w:space="0" w:color="auto"/>
              <w:bottom w:val="single" w:sz="4" w:space="0" w:color="auto"/>
              <w:right w:val="single" w:sz="4" w:space="0" w:color="auto"/>
            </w:tcBorders>
            <w:hideMark/>
          </w:tcPr>
          <w:p w14:paraId="45A7E959"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74,07</w:t>
            </w:r>
          </w:p>
        </w:tc>
      </w:tr>
      <w:tr w:rsidR="002C38D9" w:rsidRPr="00CA28DC" w14:paraId="5B34704F" w14:textId="77777777" w:rsidTr="002C38D9">
        <w:tc>
          <w:tcPr>
            <w:tcW w:w="4326" w:type="dxa"/>
            <w:tcBorders>
              <w:top w:val="single" w:sz="4" w:space="0" w:color="auto"/>
              <w:left w:val="single" w:sz="4" w:space="0" w:color="auto"/>
              <w:bottom w:val="single" w:sz="4" w:space="0" w:color="auto"/>
              <w:right w:val="single" w:sz="4" w:space="0" w:color="auto"/>
            </w:tcBorders>
            <w:hideMark/>
          </w:tcPr>
          <w:p w14:paraId="5563CCB9"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Kita įranga, prietaisai, įrankiai</w:t>
            </w:r>
          </w:p>
        </w:tc>
        <w:tc>
          <w:tcPr>
            <w:tcW w:w="1769" w:type="dxa"/>
            <w:tcBorders>
              <w:top w:val="single" w:sz="4" w:space="0" w:color="auto"/>
              <w:left w:val="single" w:sz="4" w:space="0" w:color="auto"/>
              <w:bottom w:val="single" w:sz="4" w:space="0" w:color="auto"/>
              <w:right w:val="single" w:sz="4" w:space="0" w:color="auto"/>
            </w:tcBorders>
            <w:hideMark/>
          </w:tcPr>
          <w:p w14:paraId="70B1CA2B"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14 100</w:t>
            </w:r>
          </w:p>
        </w:tc>
        <w:tc>
          <w:tcPr>
            <w:tcW w:w="1843" w:type="dxa"/>
            <w:tcBorders>
              <w:top w:val="single" w:sz="4" w:space="0" w:color="auto"/>
              <w:left w:val="single" w:sz="4" w:space="0" w:color="auto"/>
              <w:bottom w:val="single" w:sz="4" w:space="0" w:color="auto"/>
              <w:right w:val="single" w:sz="4" w:space="0" w:color="auto"/>
            </w:tcBorders>
            <w:hideMark/>
          </w:tcPr>
          <w:p w14:paraId="6FA5C236"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13 353</w:t>
            </w:r>
          </w:p>
        </w:tc>
        <w:tc>
          <w:tcPr>
            <w:tcW w:w="1417" w:type="dxa"/>
            <w:tcBorders>
              <w:top w:val="single" w:sz="4" w:space="0" w:color="auto"/>
              <w:left w:val="single" w:sz="4" w:space="0" w:color="auto"/>
              <w:bottom w:val="single" w:sz="4" w:space="0" w:color="auto"/>
              <w:right w:val="single" w:sz="4" w:space="0" w:color="auto"/>
            </w:tcBorders>
            <w:hideMark/>
          </w:tcPr>
          <w:p w14:paraId="451895B7"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94,7</w:t>
            </w:r>
          </w:p>
        </w:tc>
      </w:tr>
      <w:tr w:rsidR="002C38D9" w:rsidRPr="00CA28DC" w14:paraId="446B30B1" w14:textId="77777777" w:rsidTr="002C38D9">
        <w:tc>
          <w:tcPr>
            <w:tcW w:w="4326" w:type="dxa"/>
            <w:tcBorders>
              <w:top w:val="single" w:sz="4" w:space="0" w:color="auto"/>
              <w:left w:val="single" w:sz="4" w:space="0" w:color="auto"/>
              <w:bottom w:val="single" w:sz="4" w:space="0" w:color="auto"/>
              <w:right w:val="single" w:sz="4" w:space="0" w:color="auto"/>
            </w:tcBorders>
            <w:hideMark/>
          </w:tcPr>
          <w:p w14:paraId="05C576F2" w14:textId="5405433E" w:rsidR="00990C62" w:rsidRPr="00CA28DC" w:rsidRDefault="00990C62">
            <w:pPr>
              <w:pStyle w:val="Betarp"/>
              <w:jc w:val="both"/>
              <w:rPr>
                <w:rFonts w:ascii="Times New Roman" w:hAnsi="Times New Roman"/>
                <w:b/>
                <w:sz w:val="24"/>
                <w:szCs w:val="24"/>
              </w:rPr>
            </w:pPr>
            <w:r w:rsidRPr="00CA28DC">
              <w:rPr>
                <w:rFonts w:ascii="Times New Roman" w:hAnsi="Times New Roman"/>
                <w:b/>
                <w:sz w:val="24"/>
                <w:szCs w:val="24"/>
              </w:rPr>
              <w:t>Iš viso:</w:t>
            </w:r>
          </w:p>
        </w:tc>
        <w:tc>
          <w:tcPr>
            <w:tcW w:w="1769" w:type="dxa"/>
            <w:tcBorders>
              <w:top w:val="single" w:sz="4" w:space="0" w:color="auto"/>
              <w:left w:val="single" w:sz="4" w:space="0" w:color="auto"/>
              <w:bottom w:val="single" w:sz="4" w:space="0" w:color="auto"/>
              <w:right w:val="single" w:sz="4" w:space="0" w:color="auto"/>
            </w:tcBorders>
            <w:hideMark/>
          </w:tcPr>
          <w:p w14:paraId="0370D924"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71 753</w:t>
            </w:r>
          </w:p>
        </w:tc>
        <w:tc>
          <w:tcPr>
            <w:tcW w:w="1843" w:type="dxa"/>
            <w:tcBorders>
              <w:top w:val="single" w:sz="4" w:space="0" w:color="auto"/>
              <w:left w:val="single" w:sz="4" w:space="0" w:color="auto"/>
              <w:bottom w:val="single" w:sz="4" w:space="0" w:color="auto"/>
              <w:right w:val="single" w:sz="4" w:space="0" w:color="auto"/>
            </w:tcBorders>
            <w:hideMark/>
          </w:tcPr>
          <w:p w14:paraId="1B46E889"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66 559</w:t>
            </w:r>
          </w:p>
        </w:tc>
        <w:tc>
          <w:tcPr>
            <w:tcW w:w="1417" w:type="dxa"/>
            <w:tcBorders>
              <w:top w:val="single" w:sz="4" w:space="0" w:color="auto"/>
              <w:left w:val="single" w:sz="4" w:space="0" w:color="auto"/>
              <w:bottom w:val="single" w:sz="4" w:space="0" w:color="auto"/>
              <w:right w:val="single" w:sz="4" w:space="0" w:color="auto"/>
            </w:tcBorders>
            <w:hideMark/>
          </w:tcPr>
          <w:p w14:paraId="0A539AED"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92,76</w:t>
            </w:r>
          </w:p>
        </w:tc>
      </w:tr>
    </w:tbl>
    <w:p w14:paraId="5F37D1C9" w14:textId="77777777" w:rsidR="00990C62" w:rsidRPr="00CA28DC" w:rsidRDefault="00990C62" w:rsidP="00990C62">
      <w:pPr>
        <w:pStyle w:val="Betarp"/>
        <w:jc w:val="both"/>
        <w:rPr>
          <w:rFonts w:ascii="Times New Roman" w:hAnsi="Times New Roman"/>
          <w:sz w:val="24"/>
          <w:szCs w:val="24"/>
        </w:rPr>
      </w:pPr>
    </w:p>
    <w:p w14:paraId="7B7803E7" w14:textId="11A68104" w:rsidR="00990C62" w:rsidRPr="00CA28DC" w:rsidRDefault="00186D20" w:rsidP="00990C62">
      <w:pPr>
        <w:pStyle w:val="Betarp"/>
        <w:jc w:val="both"/>
        <w:rPr>
          <w:rFonts w:ascii="Times New Roman" w:hAnsi="Times New Roman"/>
          <w:sz w:val="24"/>
          <w:szCs w:val="24"/>
        </w:rPr>
      </w:pPr>
      <w:r w:rsidRPr="00CA28DC">
        <w:rPr>
          <w:rFonts w:ascii="Times New Roman" w:hAnsi="Times New Roman"/>
          <w:sz w:val="24"/>
          <w:szCs w:val="24"/>
        </w:rPr>
        <w:tab/>
      </w:r>
      <w:r w:rsidR="00990C62" w:rsidRPr="00CA28DC">
        <w:rPr>
          <w:rFonts w:ascii="Times New Roman" w:hAnsi="Times New Roman"/>
          <w:sz w:val="24"/>
          <w:szCs w:val="24"/>
        </w:rPr>
        <w:t>Per 2020 metus bendrovė įsigijo ilgalaikio materialiojo turto už 5005 Eur (atnaujinta kompiuterinė technika), nurašyta už 1856 Eur.</w:t>
      </w:r>
    </w:p>
    <w:p w14:paraId="463AA6BC" w14:textId="77777777" w:rsidR="00990C62" w:rsidRPr="00CA28DC" w:rsidRDefault="00990C62" w:rsidP="00990C62">
      <w:pPr>
        <w:pStyle w:val="Betarp"/>
        <w:jc w:val="both"/>
        <w:rPr>
          <w:rFonts w:ascii="Times New Roman" w:hAnsi="Times New Roman"/>
          <w:sz w:val="24"/>
          <w:szCs w:val="24"/>
        </w:rPr>
      </w:pPr>
      <w:r w:rsidRPr="00CA28DC">
        <w:rPr>
          <w:rFonts w:ascii="Times New Roman" w:hAnsi="Times New Roman"/>
          <w:sz w:val="24"/>
          <w:szCs w:val="24"/>
        </w:rPr>
        <w:t xml:space="preserve">  </w:t>
      </w:r>
    </w:p>
    <w:p w14:paraId="531B50D7" w14:textId="6EC43276" w:rsidR="00990C62" w:rsidRPr="00CA28DC" w:rsidRDefault="00186D20" w:rsidP="00990C62">
      <w:pPr>
        <w:pStyle w:val="Betarp"/>
        <w:jc w:val="both"/>
        <w:rPr>
          <w:rFonts w:ascii="Times New Roman" w:hAnsi="Times New Roman"/>
          <w:sz w:val="24"/>
          <w:szCs w:val="24"/>
        </w:rPr>
      </w:pPr>
      <w:r w:rsidRPr="00CA28DC">
        <w:rPr>
          <w:rFonts w:ascii="Times New Roman" w:hAnsi="Times New Roman"/>
          <w:sz w:val="24"/>
          <w:szCs w:val="24"/>
        </w:rPr>
        <w:tab/>
      </w:r>
      <w:r w:rsidR="00990C62" w:rsidRPr="00CA28DC">
        <w:rPr>
          <w:rFonts w:ascii="Times New Roman" w:hAnsi="Times New Roman"/>
          <w:sz w:val="24"/>
          <w:szCs w:val="24"/>
        </w:rPr>
        <w:t>Ilgalaikio materialaus turto likutinė vertė ataskaitinių metų pabaigoje – 8 016 Eur. Jį sudaro:</w:t>
      </w:r>
    </w:p>
    <w:p w14:paraId="59F91A13" w14:textId="77777777" w:rsidR="00990C62" w:rsidRPr="00CA28DC" w:rsidRDefault="00990C62" w:rsidP="00990C62">
      <w:pPr>
        <w:pStyle w:val="Betarp"/>
        <w:jc w:val="both"/>
        <w:rPr>
          <w:rFonts w:ascii="Times New Roman" w:hAnsi="Times New Roman"/>
          <w:sz w:val="24"/>
          <w:szCs w:val="24"/>
        </w:rPr>
      </w:pPr>
    </w:p>
    <w:tbl>
      <w:tblPr>
        <w:tblStyle w:val="Lentelstinklelis"/>
        <w:tblW w:w="0" w:type="auto"/>
        <w:tblInd w:w="392" w:type="dxa"/>
        <w:tblLayout w:type="fixed"/>
        <w:tblLook w:val="04A0" w:firstRow="1" w:lastRow="0" w:firstColumn="1" w:lastColumn="0" w:noHBand="0" w:noVBand="1"/>
      </w:tblPr>
      <w:tblGrid>
        <w:gridCol w:w="4326"/>
        <w:gridCol w:w="1769"/>
        <w:gridCol w:w="1843"/>
        <w:gridCol w:w="1417"/>
      </w:tblGrid>
      <w:tr w:rsidR="002C38D9" w:rsidRPr="00CA28DC" w14:paraId="7078A8DD" w14:textId="77777777" w:rsidTr="002C38D9">
        <w:trPr>
          <w:trHeight w:val="626"/>
        </w:trPr>
        <w:tc>
          <w:tcPr>
            <w:tcW w:w="4326" w:type="dxa"/>
            <w:tcBorders>
              <w:top w:val="single" w:sz="4" w:space="0" w:color="auto"/>
              <w:left w:val="single" w:sz="4" w:space="0" w:color="auto"/>
              <w:bottom w:val="single" w:sz="4" w:space="0" w:color="auto"/>
              <w:right w:val="single" w:sz="4" w:space="0" w:color="auto"/>
            </w:tcBorders>
            <w:hideMark/>
          </w:tcPr>
          <w:p w14:paraId="446A402A"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Ilgalaikis materialus turtas</w:t>
            </w:r>
          </w:p>
        </w:tc>
        <w:tc>
          <w:tcPr>
            <w:tcW w:w="1769" w:type="dxa"/>
            <w:tcBorders>
              <w:top w:val="single" w:sz="4" w:space="0" w:color="auto"/>
              <w:left w:val="single" w:sz="4" w:space="0" w:color="auto"/>
              <w:bottom w:val="single" w:sz="4" w:space="0" w:color="auto"/>
              <w:right w:val="single" w:sz="4" w:space="0" w:color="auto"/>
            </w:tcBorders>
            <w:hideMark/>
          </w:tcPr>
          <w:p w14:paraId="3B2C6F5D"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Įsigijimo savikaina Eur</w:t>
            </w:r>
          </w:p>
        </w:tc>
        <w:tc>
          <w:tcPr>
            <w:tcW w:w="1843" w:type="dxa"/>
            <w:tcBorders>
              <w:top w:val="single" w:sz="4" w:space="0" w:color="auto"/>
              <w:left w:val="single" w:sz="4" w:space="0" w:color="auto"/>
              <w:bottom w:val="single" w:sz="4" w:space="0" w:color="auto"/>
              <w:right w:val="single" w:sz="4" w:space="0" w:color="auto"/>
            </w:tcBorders>
            <w:hideMark/>
          </w:tcPr>
          <w:p w14:paraId="32B9100A"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Nusidėvėjimas Eur</w:t>
            </w:r>
          </w:p>
        </w:tc>
        <w:tc>
          <w:tcPr>
            <w:tcW w:w="1417" w:type="dxa"/>
            <w:tcBorders>
              <w:top w:val="single" w:sz="4" w:space="0" w:color="auto"/>
              <w:left w:val="single" w:sz="4" w:space="0" w:color="auto"/>
              <w:bottom w:val="single" w:sz="4" w:space="0" w:color="auto"/>
              <w:right w:val="single" w:sz="4" w:space="0" w:color="auto"/>
            </w:tcBorders>
            <w:hideMark/>
          </w:tcPr>
          <w:p w14:paraId="00A90D87"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Nusidėvėjimo  proc.</w:t>
            </w:r>
          </w:p>
        </w:tc>
      </w:tr>
      <w:tr w:rsidR="002C38D9" w:rsidRPr="00CA28DC" w14:paraId="4C93AAAD" w14:textId="77777777" w:rsidTr="002C38D9">
        <w:tc>
          <w:tcPr>
            <w:tcW w:w="4326" w:type="dxa"/>
            <w:tcBorders>
              <w:top w:val="single" w:sz="4" w:space="0" w:color="auto"/>
              <w:left w:val="single" w:sz="4" w:space="0" w:color="auto"/>
              <w:bottom w:val="single" w:sz="4" w:space="0" w:color="auto"/>
              <w:right w:val="single" w:sz="4" w:space="0" w:color="auto"/>
            </w:tcBorders>
            <w:hideMark/>
          </w:tcPr>
          <w:p w14:paraId="5FF328A9"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Pastatai ir statiniai</w:t>
            </w:r>
          </w:p>
        </w:tc>
        <w:tc>
          <w:tcPr>
            <w:tcW w:w="1769" w:type="dxa"/>
            <w:tcBorders>
              <w:top w:val="single" w:sz="4" w:space="0" w:color="auto"/>
              <w:left w:val="single" w:sz="4" w:space="0" w:color="auto"/>
              <w:bottom w:val="single" w:sz="4" w:space="0" w:color="auto"/>
              <w:right w:val="single" w:sz="4" w:space="0" w:color="auto"/>
            </w:tcBorders>
            <w:hideMark/>
          </w:tcPr>
          <w:p w14:paraId="0E6BC2E0"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40 509</w:t>
            </w:r>
          </w:p>
        </w:tc>
        <w:tc>
          <w:tcPr>
            <w:tcW w:w="1843" w:type="dxa"/>
            <w:tcBorders>
              <w:top w:val="single" w:sz="4" w:space="0" w:color="auto"/>
              <w:left w:val="single" w:sz="4" w:space="0" w:color="auto"/>
              <w:bottom w:val="single" w:sz="4" w:space="0" w:color="auto"/>
              <w:right w:val="single" w:sz="4" w:space="0" w:color="auto"/>
            </w:tcBorders>
            <w:hideMark/>
          </w:tcPr>
          <w:p w14:paraId="571FB8EE"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40 508</w:t>
            </w:r>
          </w:p>
        </w:tc>
        <w:tc>
          <w:tcPr>
            <w:tcW w:w="1417" w:type="dxa"/>
            <w:tcBorders>
              <w:top w:val="single" w:sz="4" w:space="0" w:color="auto"/>
              <w:left w:val="single" w:sz="4" w:space="0" w:color="auto"/>
              <w:bottom w:val="single" w:sz="4" w:space="0" w:color="auto"/>
              <w:right w:val="single" w:sz="4" w:space="0" w:color="auto"/>
            </w:tcBorders>
            <w:hideMark/>
          </w:tcPr>
          <w:p w14:paraId="77066D15"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99,9</w:t>
            </w:r>
          </w:p>
        </w:tc>
      </w:tr>
      <w:tr w:rsidR="002C38D9" w:rsidRPr="00CA28DC" w14:paraId="05DB6D1B" w14:textId="77777777" w:rsidTr="002C38D9">
        <w:tc>
          <w:tcPr>
            <w:tcW w:w="4326" w:type="dxa"/>
            <w:tcBorders>
              <w:top w:val="single" w:sz="4" w:space="0" w:color="auto"/>
              <w:left w:val="single" w:sz="4" w:space="0" w:color="auto"/>
              <w:bottom w:val="single" w:sz="4" w:space="0" w:color="auto"/>
              <w:right w:val="single" w:sz="4" w:space="0" w:color="auto"/>
            </w:tcBorders>
            <w:hideMark/>
          </w:tcPr>
          <w:p w14:paraId="580785FD"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Transporto priemonės</w:t>
            </w:r>
          </w:p>
        </w:tc>
        <w:tc>
          <w:tcPr>
            <w:tcW w:w="1769" w:type="dxa"/>
            <w:tcBorders>
              <w:top w:val="single" w:sz="4" w:space="0" w:color="auto"/>
              <w:left w:val="single" w:sz="4" w:space="0" w:color="auto"/>
              <w:bottom w:val="single" w:sz="4" w:space="0" w:color="auto"/>
              <w:right w:val="single" w:sz="4" w:space="0" w:color="auto"/>
            </w:tcBorders>
            <w:hideMark/>
          </w:tcPr>
          <w:p w14:paraId="33AC1E44"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17 144</w:t>
            </w:r>
          </w:p>
        </w:tc>
        <w:tc>
          <w:tcPr>
            <w:tcW w:w="1843" w:type="dxa"/>
            <w:tcBorders>
              <w:top w:val="single" w:sz="4" w:space="0" w:color="auto"/>
              <w:left w:val="single" w:sz="4" w:space="0" w:color="auto"/>
              <w:bottom w:val="single" w:sz="4" w:space="0" w:color="auto"/>
              <w:right w:val="single" w:sz="4" w:space="0" w:color="auto"/>
            </w:tcBorders>
            <w:hideMark/>
          </w:tcPr>
          <w:p w14:paraId="6D11EAFF"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13 942</w:t>
            </w:r>
          </w:p>
        </w:tc>
        <w:tc>
          <w:tcPr>
            <w:tcW w:w="1417" w:type="dxa"/>
            <w:tcBorders>
              <w:top w:val="single" w:sz="4" w:space="0" w:color="auto"/>
              <w:left w:val="single" w:sz="4" w:space="0" w:color="auto"/>
              <w:bottom w:val="single" w:sz="4" w:space="0" w:color="auto"/>
              <w:right w:val="single" w:sz="4" w:space="0" w:color="auto"/>
            </w:tcBorders>
            <w:hideMark/>
          </w:tcPr>
          <w:p w14:paraId="63711FBC"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81,32</w:t>
            </w:r>
          </w:p>
        </w:tc>
      </w:tr>
      <w:tr w:rsidR="002C38D9" w:rsidRPr="00CA28DC" w14:paraId="2B9BD180" w14:textId="77777777" w:rsidTr="002C38D9">
        <w:tc>
          <w:tcPr>
            <w:tcW w:w="4326" w:type="dxa"/>
            <w:tcBorders>
              <w:top w:val="single" w:sz="4" w:space="0" w:color="auto"/>
              <w:left w:val="single" w:sz="4" w:space="0" w:color="auto"/>
              <w:bottom w:val="single" w:sz="4" w:space="0" w:color="auto"/>
              <w:right w:val="single" w:sz="4" w:space="0" w:color="auto"/>
            </w:tcBorders>
            <w:hideMark/>
          </w:tcPr>
          <w:p w14:paraId="4DF5574F" w14:textId="77777777" w:rsidR="00990C62" w:rsidRPr="00CA28DC" w:rsidRDefault="00990C62">
            <w:pPr>
              <w:pStyle w:val="Betarp"/>
              <w:jc w:val="both"/>
              <w:rPr>
                <w:rFonts w:ascii="Times New Roman" w:hAnsi="Times New Roman"/>
                <w:sz w:val="24"/>
                <w:szCs w:val="24"/>
              </w:rPr>
            </w:pPr>
            <w:r w:rsidRPr="00CA28DC">
              <w:rPr>
                <w:rFonts w:ascii="Times New Roman" w:hAnsi="Times New Roman"/>
                <w:sz w:val="24"/>
                <w:szCs w:val="24"/>
              </w:rPr>
              <w:t>Kita įranga, prietaisai, įrankiai</w:t>
            </w:r>
          </w:p>
        </w:tc>
        <w:tc>
          <w:tcPr>
            <w:tcW w:w="1769" w:type="dxa"/>
            <w:tcBorders>
              <w:top w:val="single" w:sz="4" w:space="0" w:color="auto"/>
              <w:left w:val="single" w:sz="4" w:space="0" w:color="auto"/>
              <w:bottom w:val="single" w:sz="4" w:space="0" w:color="auto"/>
              <w:right w:val="single" w:sz="4" w:space="0" w:color="auto"/>
            </w:tcBorders>
            <w:hideMark/>
          </w:tcPr>
          <w:p w14:paraId="58235BDF"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17 249</w:t>
            </w:r>
          </w:p>
        </w:tc>
        <w:tc>
          <w:tcPr>
            <w:tcW w:w="1843" w:type="dxa"/>
            <w:tcBorders>
              <w:top w:val="single" w:sz="4" w:space="0" w:color="auto"/>
              <w:left w:val="single" w:sz="4" w:space="0" w:color="auto"/>
              <w:bottom w:val="single" w:sz="4" w:space="0" w:color="auto"/>
              <w:right w:val="single" w:sz="4" w:space="0" w:color="auto"/>
            </w:tcBorders>
            <w:hideMark/>
          </w:tcPr>
          <w:p w14:paraId="5F88629C"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12 436</w:t>
            </w:r>
          </w:p>
        </w:tc>
        <w:tc>
          <w:tcPr>
            <w:tcW w:w="1417" w:type="dxa"/>
            <w:tcBorders>
              <w:top w:val="single" w:sz="4" w:space="0" w:color="auto"/>
              <w:left w:val="single" w:sz="4" w:space="0" w:color="auto"/>
              <w:bottom w:val="single" w:sz="4" w:space="0" w:color="auto"/>
              <w:right w:val="single" w:sz="4" w:space="0" w:color="auto"/>
            </w:tcBorders>
            <w:hideMark/>
          </w:tcPr>
          <w:p w14:paraId="0E3BEA65"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72,10</w:t>
            </w:r>
          </w:p>
        </w:tc>
      </w:tr>
      <w:tr w:rsidR="002C38D9" w:rsidRPr="00CA28DC" w14:paraId="5C0F664A" w14:textId="77777777" w:rsidTr="002C38D9">
        <w:tc>
          <w:tcPr>
            <w:tcW w:w="4326" w:type="dxa"/>
            <w:tcBorders>
              <w:top w:val="single" w:sz="4" w:space="0" w:color="auto"/>
              <w:left w:val="single" w:sz="4" w:space="0" w:color="auto"/>
              <w:bottom w:val="single" w:sz="4" w:space="0" w:color="auto"/>
              <w:right w:val="single" w:sz="4" w:space="0" w:color="auto"/>
            </w:tcBorders>
            <w:hideMark/>
          </w:tcPr>
          <w:p w14:paraId="13C0E6CE" w14:textId="0F5DA458" w:rsidR="00990C62" w:rsidRPr="00CA28DC" w:rsidRDefault="00990C62">
            <w:pPr>
              <w:pStyle w:val="Betarp"/>
              <w:jc w:val="both"/>
              <w:rPr>
                <w:rFonts w:ascii="Times New Roman" w:hAnsi="Times New Roman"/>
                <w:b/>
                <w:sz w:val="24"/>
                <w:szCs w:val="24"/>
              </w:rPr>
            </w:pPr>
            <w:r w:rsidRPr="00CA28DC">
              <w:rPr>
                <w:rFonts w:ascii="Times New Roman" w:hAnsi="Times New Roman"/>
                <w:b/>
                <w:sz w:val="24"/>
                <w:szCs w:val="24"/>
              </w:rPr>
              <w:t>Iš viso:</w:t>
            </w:r>
          </w:p>
        </w:tc>
        <w:tc>
          <w:tcPr>
            <w:tcW w:w="1769" w:type="dxa"/>
            <w:tcBorders>
              <w:top w:val="single" w:sz="4" w:space="0" w:color="auto"/>
              <w:left w:val="single" w:sz="4" w:space="0" w:color="auto"/>
              <w:bottom w:val="single" w:sz="4" w:space="0" w:color="auto"/>
              <w:right w:val="single" w:sz="4" w:space="0" w:color="auto"/>
            </w:tcBorders>
            <w:hideMark/>
          </w:tcPr>
          <w:p w14:paraId="6A63355D"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74 902</w:t>
            </w:r>
          </w:p>
        </w:tc>
        <w:tc>
          <w:tcPr>
            <w:tcW w:w="1843" w:type="dxa"/>
            <w:tcBorders>
              <w:top w:val="single" w:sz="4" w:space="0" w:color="auto"/>
              <w:left w:val="single" w:sz="4" w:space="0" w:color="auto"/>
              <w:bottom w:val="single" w:sz="4" w:space="0" w:color="auto"/>
              <w:right w:val="single" w:sz="4" w:space="0" w:color="auto"/>
            </w:tcBorders>
            <w:hideMark/>
          </w:tcPr>
          <w:p w14:paraId="7B032A64"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66 886</w:t>
            </w:r>
          </w:p>
        </w:tc>
        <w:tc>
          <w:tcPr>
            <w:tcW w:w="1417" w:type="dxa"/>
            <w:tcBorders>
              <w:top w:val="single" w:sz="4" w:space="0" w:color="auto"/>
              <w:left w:val="single" w:sz="4" w:space="0" w:color="auto"/>
              <w:bottom w:val="single" w:sz="4" w:space="0" w:color="auto"/>
              <w:right w:val="single" w:sz="4" w:space="0" w:color="auto"/>
            </w:tcBorders>
            <w:hideMark/>
          </w:tcPr>
          <w:p w14:paraId="437E36F6"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89,30</w:t>
            </w:r>
          </w:p>
        </w:tc>
      </w:tr>
    </w:tbl>
    <w:p w14:paraId="0B6FBD20" w14:textId="77777777" w:rsidR="002C38D9" w:rsidRPr="00CA28DC" w:rsidRDefault="002C38D9" w:rsidP="00990C62">
      <w:pPr>
        <w:pStyle w:val="Betarp"/>
        <w:ind w:firstLine="1296"/>
        <w:jc w:val="both"/>
        <w:rPr>
          <w:rFonts w:ascii="Times New Roman" w:hAnsi="Times New Roman"/>
          <w:sz w:val="24"/>
          <w:szCs w:val="24"/>
        </w:rPr>
      </w:pPr>
    </w:p>
    <w:p w14:paraId="43B1BBDE" w14:textId="77777777" w:rsidR="00990C62" w:rsidRPr="00CA28DC" w:rsidRDefault="00990C62" w:rsidP="00990C62">
      <w:pPr>
        <w:pStyle w:val="Betarp"/>
        <w:ind w:firstLine="1296"/>
        <w:jc w:val="both"/>
        <w:rPr>
          <w:rFonts w:ascii="Times New Roman" w:hAnsi="Times New Roman"/>
          <w:sz w:val="24"/>
          <w:szCs w:val="24"/>
        </w:rPr>
      </w:pPr>
      <w:r w:rsidRPr="00CA28DC">
        <w:rPr>
          <w:rFonts w:ascii="Times New Roman" w:hAnsi="Times New Roman"/>
          <w:sz w:val="24"/>
          <w:szCs w:val="24"/>
        </w:rPr>
        <w:t>Bendrovėje be pilnai nudėvėtų pastatų ir statinių yra dar naudojamo ilgalaikio materialaus turto, kurio įsigijimo vertė 11 501 Eur. Bendrovė įkeisto turto neturi.</w:t>
      </w:r>
    </w:p>
    <w:p w14:paraId="343A59BE" w14:textId="1E980228" w:rsidR="00990C62" w:rsidRPr="00CA28DC" w:rsidRDefault="00990C62" w:rsidP="002C38D9">
      <w:pPr>
        <w:pStyle w:val="Betarp"/>
        <w:ind w:firstLine="1296"/>
        <w:jc w:val="both"/>
        <w:rPr>
          <w:rFonts w:ascii="Times New Roman" w:hAnsi="Times New Roman"/>
          <w:sz w:val="24"/>
          <w:szCs w:val="24"/>
        </w:rPr>
      </w:pPr>
      <w:r w:rsidRPr="00CA28DC">
        <w:rPr>
          <w:rFonts w:ascii="Times New Roman" w:hAnsi="Times New Roman"/>
          <w:sz w:val="24"/>
          <w:szCs w:val="24"/>
        </w:rPr>
        <w:t xml:space="preserve">Bendrovės nematerialus turtas </w:t>
      </w:r>
      <w:r w:rsidR="00186D20" w:rsidRPr="00CA28DC">
        <w:rPr>
          <w:rFonts w:ascii="Times New Roman" w:hAnsi="Times New Roman"/>
          <w:sz w:val="24"/>
          <w:szCs w:val="24"/>
        </w:rPr>
        <w:t>–</w:t>
      </w:r>
      <w:r w:rsidRPr="00CA28DC">
        <w:rPr>
          <w:rFonts w:ascii="Times New Roman" w:hAnsi="Times New Roman"/>
          <w:sz w:val="24"/>
          <w:szCs w:val="24"/>
        </w:rPr>
        <w:t xml:space="preserve"> programinė įranga, licencijos. Įsigijimo savikaina metų pradžioje sudarė 17 104 Eur. Bendrovėje yra pilnai nudėvėto, bet dar naudojamo nematerialaus turto, kurio įsigijimo vertė 17 103 Eur. Nematerialaus turto 2020 metų pabaigoje likutinė vertė yra 1 Eur. </w:t>
      </w:r>
    </w:p>
    <w:p w14:paraId="3D918DA3" w14:textId="77777777" w:rsidR="00990C62" w:rsidRPr="00CA28DC" w:rsidRDefault="00990C62" w:rsidP="00990C62">
      <w:pPr>
        <w:pStyle w:val="Betarp"/>
        <w:ind w:firstLine="1296"/>
        <w:jc w:val="both"/>
        <w:rPr>
          <w:rFonts w:ascii="Times New Roman" w:hAnsi="Times New Roman"/>
          <w:sz w:val="24"/>
          <w:szCs w:val="24"/>
        </w:rPr>
      </w:pPr>
    </w:p>
    <w:p w14:paraId="13F38839" w14:textId="710CB3E1" w:rsidR="00990C62" w:rsidRPr="00CA28DC" w:rsidRDefault="00186D20" w:rsidP="00990C62">
      <w:pPr>
        <w:pStyle w:val="Betarp"/>
        <w:jc w:val="center"/>
        <w:rPr>
          <w:rFonts w:ascii="Times New Roman" w:hAnsi="Times New Roman"/>
          <w:b/>
          <w:sz w:val="24"/>
          <w:szCs w:val="24"/>
        </w:rPr>
      </w:pPr>
      <w:r w:rsidRPr="00CA28DC">
        <w:rPr>
          <w:rFonts w:ascii="Times New Roman" w:hAnsi="Times New Roman"/>
          <w:b/>
          <w:sz w:val="24"/>
          <w:szCs w:val="24"/>
        </w:rPr>
        <w:t xml:space="preserve">IV. ŪKINĖ </w:t>
      </w:r>
      <w:r w:rsidR="00990C62" w:rsidRPr="00CA28DC">
        <w:rPr>
          <w:rFonts w:ascii="Times New Roman" w:hAnsi="Times New Roman"/>
          <w:b/>
          <w:sz w:val="24"/>
          <w:szCs w:val="24"/>
        </w:rPr>
        <w:t>VEIKLA, FINASINIAI VEIKLOS RODIKLIAI</w:t>
      </w:r>
    </w:p>
    <w:p w14:paraId="09FB83F4" w14:textId="77777777" w:rsidR="00990C62" w:rsidRPr="00CA28DC" w:rsidRDefault="00990C62" w:rsidP="002C38D9">
      <w:pPr>
        <w:pStyle w:val="Betarp"/>
        <w:rPr>
          <w:rFonts w:ascii="Times New Roman" w:hAnsi="Times New Roman"/>
          <w:b/>
          <w:sz w:val="24"/>
          <w:szCs w:val="24"/>
        </w:rPr>
      </w:pPr>
    </w:p>
    <w:p w14:paraId="1101D1FB" w14:textId="77777777" w:rsidR="00990C62" w:rsidRPr="00CA28DC" w:rsidRDefault="00990C62" w:rsidP="00990C62">
      <w:pPr>
        <w:pStyle w:val="Betarp"/>
        <w:ind w:firstLine="1296"/>
        <w:rPr>
          <w:rFonts w:ascii="Times New Roman" w:hAnsi="Times New Roman"/>
          <w:sz w:val="24"/>
          <w:szCs w:val="24"/>
        </w:rPr>
      </w:pPr>
      <w:r w:rsidRPr="00CA28DC">
        <w:rPr>
          <w:rFonts w:ascii="Times New Roman" w:hAnsi="Times New Roman"/>
          <w:sz w:val="24"/>
          <w:szCs w:val="24"/>
        </w:rPr>
        <w:t xml:space="preserve">Bendrovės veiklos pajamos per ataskaitinį laikotarpį sudarė 592 459 Eur. Pajamų pasiskirstymas pagal veiklas:  </w:t>
      </w:r>
    </w:p>
    <w:p w14:paraId="0DE13ADA" w14:textId="77777777" w:rsidR="00990C62" w:rsidRPr="00CA28DC" w:rsidRDefault="00990C62" w:rsidP="00990C62">
      <w:pPr>
        <w:pStyle w:val="Betarp"/>
        <w:ind w:firstLine="1296"/>
        <w:rPr>
          <w:rFonts w:ascii="Times New Roman" w:hAnsi="Times New Roman"/>
          <w:sz w:val="24"/>
          <w:szCs w:val="24"/>
        </w:rPr>
      </w:pPr>
    </w:p>
    <w:tbl>
      <w:tblPr>
        <w:tblStyle w:val="Lentelstinklelis"/>
        <w:tblW w:w="8311" w:type="dxa"/>
        <w:tblLook w:val="04A0" w:firstRow="1" w:lastRow="0" w:firstColumn="1" w:lastColumn="0" w:noHBand="0" w:noVBand="1"/>
      </w:tblPr>
      <w:tblGrid>
        <w:gridCol w:w="3539"/>
        <w:gridCol w:w="1193"/>
        <w:gridCol w:w="1193"/>
        <w:gridCol w:w="1193"/>
        <w:gridCol w:w="1193"/>
      </w:tblGrid>
      <w:tr w:rsidR="00990C62" w:rsidRPr="00CA28DC" w14:paraId="7E171854" w14:textId="77777777" w:rsidTr="00990C62">
        <w:tc>
          <w:tcPr>
            <w:tcW w:w="3539" w:type="dxa"/>
            <w:vMerge w:val="restart"/>
            <w:tcBorders>
              <w:top w:val="single" w:sz="4" w:space="0" w:color="auto"/>
              <w:left w:val="single" w:sz="4" w:space="0" w:color="auto"/>
              <w:bottom w:val="single" w:sz="4" w:space="0" w:color="auto"/>
              <w:right w:val="single" w:sz="4" w:space="0" w:color="auto"/>
            </w:tcBorders>
            <w:hideMark/>
          </w:tcPr>
          <w:p w14:paraId="149B82EB"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Veiklos</w:t>
            </w:r>
          </w:p>
        </w:tc>
        <w:tc>
          <w:tcPr>
            <w:tcW w:w="2386" w:type="dxa"/>
            <w:gridSpan w:val="2"/>
            <w:tcBorders>
              <w:top w:val="single" w:sz="4" w:space="0" w:color="auto"/>
              <w:left w:val="single" w:sz="4" w:space="0" w:color="auto"/>
              <w:bottom w:val="single" w:sz="4" w:space="0" w:color="auto"/>
              <w:right w:val="single" w:sz="4" w:space="0" w:color="auto"/>
            </w:tcBorders>
            <w:hideMark/>
          </w:tcPr>
          <w:p w14:paraId="2CFA38AB"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2020 m.</w:t>
            </w:r>
          </w:p>
        </w:tc>
        <w:tc>
          <w:tcPr>
            <w:tcW w:w="2386" w:type="dxa"/>
            <w:gridSpan w:val="2"/>
            <w:tcBorders>
              <w:top w:val="single" w:sz="4" w:space="0" w:color="auto"/>
              <w:left w:val="single" w:sz="4" w:space="0" w:color="auto"/>
              <w:bottom w:val="single" w:sz="4" w:space="0" w:color="auto"/>
              <w:right w:val="single" w:sz="4" w:space="0" w:color="auto"/>
            </w:tcBorders>
            <w:hideMark/>
          </w:tcPr>
          <w:p w14:paraId="165CB84D" w14:textId="77777777" w:rsidR="00990C62" w:rsidRPr="00CA28DC" w:rsidRDefault="00990C62">
            <w:pPr>
              <w:jc w:val="center"/>
              <w:rPr>
                <w:sz w:val="24"/>
                <w:szCs w:val="24"/>
                <w:lang w:val="lt-LT" w:eastAsia="en-US"/>
              </w:rPr>
            </w:pPr>
            <w:r w:rsidRPr="00CA28DC">
              <w:rPr>
                <w:sz w:val="24"/>
                <w:szCs w:val="24"/>
                <w:lang w:val="lt-LT"/>
              </w:rPr>
              <w:t>2019 m.</w:t>
            </w:r>
          </w:p>
        </w:tc>
      </w:tr>
      <w:tr w:rsidR="00990C62" w:rsidRPr="00CA28DC" w14:paraId="12D0B97B" w14:textId="77777777" w:rsidTr="00990C62">
        <w:tc>
          <w:tcPr>
            <w:tcW w:w="0" w:type="auto"/>
            <w:vMerge/>
            <w:tcBorders>
              <w:top w:val="single" w:sz="4" w:space="0" w:color="auto"/>
              <w:left w:val="single" w:sz="4" w:space="0" w:color="auto"/>
              <w:bottom w:val="single" w:sz="4" w:space="0" w:color="auto"/>
              <w:right w:val="single" w:sz="4" w:space="0" w:color="auto"/>
            </w:tcBorders>
            <w:vAlign w:val="center"/>
            <w:hideMark/>
          </w:tcPr>
          <w:p w14:paraId="570D5978" w14:textId="77777777" w:rsidR="00990C62" w:rsidRPr="00CA28DC" w:rsidRDefault="00990C62">
            <w:pPr>
              <w:rPr>
                <w:sz w:val="24"/>
                <w:szCs w:val="24"/>
                <w:lang w:val="lt-LT" w:eastAsia="en-US"/>
              </w:rPr>
            </w:pPr>
          </w:p>
        </w:tc>
        <w:tc>
          <w:tcPr>
            <w:tcW w:w="1193" w:type="dxa"/>
            <w:tcBorders>
              <w:top w:val="single" w:sz="4" w:space="0" w:color="auto"/>
              <w:left w:val="single" w:sz="4" w:space="0" w:color="auto"/>
              <w:bottom w:val="single" w:sz="4" w:space="0" w:color="auto"/>
              <w:right w:val="single" w:sz="4" w:space="0" w:color="auto"/>
            </w:tcBorders>
            <w:hideMark/>
          </w:tcPr>
          <w:p w14:paraId="362E3812"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Suma Eur</w:t>
            </w:r>
          </w:p>
        </w:tc>
        <w:tc>
          <w:tcPr>
            <w:tcW w:w="1193" w:type="dxa"/>
            <w:tcBorders>
              <w:top w:val="single" w:sz="4" w:space="0" w:color="auto"/>
              <w:left w:val="single" w:sz="4" w:space="0" w:color="auto"/>
              <w:bottom w:val="single" w:sz="4" w:space="0" w:color="auto"/>
              <w:right w:val="single" w:sz="4" w:space="0" w:color="auto"/>
            </w:tcBorders>
            <w:hideMark/>
          </w:tcPr>
          <w:p w14:paraId="2629DE76" w14:textId="77777777" w:rsidR="00990C62" w:rsidRPr="00CA28DC" w:rsidRDefault="00990C62">
            <w:pPr>
              <w:pStyle w:val="Betarp"/>
              <w:jc w:val="center"/>
              <w:rPr>
                <w:rFonts w:ascii="Times New Roman" w:hAnsi="Times New Roman"/>
                <w:sz w:val="24"/>
                <w:szCs w:val="24"/>
              </w:rPr>
            </w:pPr>
            <w:r w:rsidRPr="00CA28DC">
              <w:rPr>
                <w:rFonts w:ascii="Times New Roman" w:hAnsi="Times New Roman"/>
                <w:sz w:val="24"/>
                <w:szCs w:val="24"/>
              </w:rPr>
              <w:t>Proc.</w:t>
            </w:r>
          </w:p>
        </w:tc>
        <w:tc>
          <w:tcPr>
            <w:tcW w:w="1193" w:type="dxa"/>
            <w:tcBorders>
              <w:top w:val="single" w:sz="4" w:space="0" w:color="auto"/>
              <w:left w:val="single" w:sz="4" w:space="0" w:color="auto"/>
              <w:bottom w:val="single" w:sz="4" w:space="0" w:color="auto"/>
              <w:right w:val="single" w:sz="4" w:space="0" w:color="auto"/>
            </w:tcBorders>
            <w:hideMark/>
          </w:tcPr>
          <w:p w14:paraId="2F481921" w14:textId="77777777" w:rsidR="00990C62" w:rsidRPr="00CA28DC" w:rsidRDefault="00990C62">
            <w:pPr>
              <w:jc w:val="center"/>
              <w:rPr>
                <w:sz w:val="24"/>
                <w:szCs w:val="24"/>
                <w:lang w:val="lt-LT" w:eastAsia="en-US"/>
              </w:rPr>
            </w:pPr>
            <w:r w:rsidRPr="00CA28DC">
              <w:rPr>
                <w:sz w:val="24"/>
                <w:szCs w:val="24"/>
                <w:lang w:val="lt-LT"/>
              </w:rPr>
              <w:t>Suma Eur</w:t>
            </w:r>
          </w:p>
        </w:tc>
        <w:tc>
          <w:tcPr>
            <w:tcW w:w="1193" w:type="dxa"/>
            <w:tcBorders>
              <w:top w:val="single" w:sz="4" w:space="0" w:color="auto"/>
              <w:left w:val="single" w:sz="4" w:space="0" w:color="auto"/>
              <w:bottom w:val="single" w:sz="4" w:space="0" w:color="auto"/>
              <w:right w:val="single" w:sz="4" w:space="0" w:color="auto"/>
            </w:tcBorders>
            <w:hideMark/>
          </w:tcPr>
          <w:p w14:paraId="7BF8CCAB" w14:textId="77777777" w:rsidR="00990C62" w:rsidRPr="00CA28DC" w:rsidRDefault="00990C62">
            <w:pPr>
              <w:jc w:val="center"/>
              <w:rPr>
                <w:sz w:val="24"/>
                <w:szCs w:val="24"/>
                <w:lang w:val="lt-LT" w:eastAsia="en-US"/>
              </w:rPr>
            </w:pPr>
            <w:r w:rsidRPr="00CA28DC">
              <w:rPr>
                <w:sz w:val="24"/>
                <w:szCs w:val="24"/>
                <w:lang w:val="lt-LT"/>
              </w:rPr>
              <w:t>Proc.</w:t>
            </w:r>
          </w:p>
        </w:tc>
      </w:tr>
      <w:tr w:rsidR="00990C62" w:rsidRPr="00CA28DC" w14:paraId="07F0036F" w14:textId="77777777" w:rsidTr="00990C62">
        <w:tc>
          <w:tcPr>
            <w:tcW w:w="3539" w:type="dxa"/>
            <w:tcBorders>
              <w:top w:val="single" w:sz="4" w:space="0" w:color="auto"/>
              <w:left w:val="single" w:sz="4" w:space="0" w:color="auto"/>
              <w:bottom w:val="single" w:sz="4" w:space="0" w:color="auto"/>
              <w:right w:val="single" w:sz="4" w:space="0" w:color="auto"/>
            </w:tcBorders>
            <w:hideMark/>
          </w:tcPr>
          <w:p w14:paraId="6C6852D0" w14:textId="77777777" w:rsidR="00990C62" w:rsidRPr="00CA28DC" w:rsidRDefault="00990C62">
            <w:pPr>
              <w:pStyle w:val="Betarp"/>
              <w:rPr>
                <w:rFonts w:ascii="Times New Roman" w:hAnsi="Times New Roman"/>
                <w:sz w:val="24"/>
                <w:szCs w:val="24"/>
              </w:rPr>
            </w:pPr>
            <w:r w:rsidRPr="00CA28DC">
              <w:rPr>
                <w:rFonts w:ascii="Times New Roman" w:hAnsi="Times New Roman"/>
                <w:sz w:val="24"/>
                <w:szCs w:val="24"/>
              </w:rPr>
              <w:t>šildymo sistemų priežiūros</w:t>
            </w:r>
          </w:p>
        </w:tc>
        <w:tc>
          <w:tcPr>
            <w:tcW w:w="1193" w:type="dxa"/>
            <w:tcBorders>
              <w:top w:val="single" w:sz="4" w:space="0" w:color="auto"/>
              <w:left w:val="single" w:sz="4" w:space="0" w:color="auto"/>
              <w:bottom w:val="single" w:sz="4" w:space="0" w:color="auto"/>
              <w:right w:val="single" w:sz="4" w:space="0" w:color="auto"/>
            </w:tcBorders>
            <w:hideMark/>
          </w:tcPr>
          <w:p w14:paraId="793DD910"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177 116</w:t>
            </w:r>
          </w:p>
        </w:tc>
        <w:tc>
          <w:tcPr>
            <w:tcW w:w="1193" w:type="dxa"/>
            <w:tcBorders>
              <w:top w:val="single" w:sz="4" w:space="0" w:color="auto"/>
              <w:left w:val="single" w:sz="4" w:space="0" w:color="auto"/>
              <w:bottom w:val="single" w:sz="4" w:space="0" w:color="auto"/>
              <w:right w:val="single" w:sz="4" w:space="0" w:color="auto"/>
            </w:tcBorders>
            <w:hideMark/>
          </w:tcPr>
          <w:p w14:paraId="54BD4368"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29,90</w:t>
            </w:r>
          </w:p>
        </w:tc>
        <w:tc>
          <w:tcPr>
            <w:tcW w:w="1193" w:type="dxa"/>
            <w:tcBorders>
              <w:top w:val="single" w:sz="4" w:space="0" w:color="auto"/>
              <w:left w:val="single" w:sz="4" w:space="0" w:color="auto"/>
              <w:bottom w:val="single" w:sz="4" w:space="0" w:color="auto"/>
              <w:right w:val="single" w:sz="4" w:space="0" w:color="auto"/>
            </w:tcBorders>
            <w:hideMark/>
          </w:tcPr>
          <w:p w14:paraId="7BCFCBB6"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183 288</w:t>
            </w:r>
          </w:p>
        </w:tc>
        <w:tc>
          <w:tcPr>
            <w:tcW w:w="1193" w:type="dxa"/>
            <w:tcBorders>
              <w:top w:val="single" w:sz="4" w:space="0" w:color="auto"/>
              <w:left w:val="single" w:sz="4" w:space="0" w:color="auto"/>
              <w:bottom w:val="single" w:sz="4" w:space="0" w:color="auto"/>
              <w:right w:val="single" w:sz="4" w:space="0" w:color="auto"/>
            </w:tcBorders>
            <w:hideMark/>
          </w:tcPr>
          <w:p w14:paraId="6DC70AA3"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33,90</w:t>
            </w:r>
          </w:p>
        </w:tc>
      </w:tr>
      <w:tr w:rsidR="00990C62" w:rsidRPr="00CA28DC" w14:paraId="0F170DC8" w14:textId="77777777" w:rsidTr="00990C62">
        <w:tc>
          <w:tcPr>
            <w:tcW w:w="3539" w:type="dxa"/>
            <w:tcBorders>
              <w:top w:val="single" w:sz="4" w:space="0" w:color="auto"/>
              <w:left w:val="single" w:sz="4" w:space="0" w:color="auto"/>
              <w:bottom w:val="single" w:sz="4" w:space="0" w:color="auto"/>
              <w:right w:val="single" w:sz="4" w:space="0" w:color="auto"/>
            </w:tcBorders>
            <w:hideMark/>
          </w:tcPr>
          <w:p w14:paraId="1DC06250" w14:textId="77777777" w:rsidR="00990C62" w:rsidRPr="00CA28DC" w:rsidRDefault="00990C62">
            <w:pPr>
              <w:pStyle w:val="Betarp"/>
              <w:rPr>
                <w:rFonts w:ascii="Times New Roman" w:hAnsi="Times New Roman"/>
                <w:sz w:val="24"/>
                <w:szCs w:val="24"/>
              </w:rPr>
            </w:pPr>
            <w:r w:rsidRPr="00CA28DC">
              <w:rPr>
                <w:rFonts w:ascii="Times New Roman" w:hAnsi="Times New Roman"/>
                <w:sz w:val="24"/>
                <w:szCs w:val="24"/>
              </w:rPr>
              <w:t xml:space="preserve">gyvenamųjų namų eksploatacijos </w:t>
            </w:r>
          </w:p>
        </w:tc>
        <w:tc>
          <w:tcPr>
            <w:tcW w:w="1193" w:type="dxa"/>
            <w:tcBorders>
              <w:top w:val="single" w:sz="4" w:space="0" w:color="auto"/>
              <w:left w:val="single" w:sz="4" w:space="0" w:color="auto"/>
              <w:bottom w:val="single" w:sz="4" w:space="0" w:color="auto"/>
              <w:right w:val="single" w:sz="4" w:space="0" w:color="auto"/>
            </w:tcBorders>
            <w:hideMark/>
          </w:tcPr>
          <w:p w14:paraId="7888583F"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187 046</w:t>
            </w:r>
          </w:p>
        </w:tc>
        <w:tc>
          <w:tcPr>
            <w:tcW w:w="1193" w:type="dxa"/>
            <w:tcBorders>
              <w:top w:val="single" w:sz="4" w:space="0" w:color="auto"/>
              <w:left w:val="single" w:sz="4" w:space="0" w:color="auto"/>
              <w:bottom w:val="single" w:sz="4" w:space="0" w:color="auto"/>
              <w:right w:val="single" w:sz="4" w:space="0" w:color="auto"/>
            </w:tcBorders>
            <w:hideMark/>
          </w:tcPr>
          <w:p w14:paraId="21AE6A24"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31,57</w:t>
            </w:r>
          </w:p>
        </w:tc>
        <w:tc>
          <w:tcPr>
            <w:tcW w:w="1193" w:type="dxa"/>
            <w:tcBorders>
              <w:top w:val="single" w:sz="4" w:space="0" w:color="auto"/>
              <w:left w:val="single" w:sz="4" w:space="0" w:color="auto"/>
              <w:bottom w:val="single" w:sz="4" w:space="0" w:color="auto"/>
              <w:right w:val="single" w:sz="4" w:space="0" w:color="auto"/>
            </w:tcBorders>
            <w:hideMark/>
          </w:tcPr>
          <w:p w14:paraId="3B2AA74B"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165 369</w:t>
            </w:r>
          </w:p>
        </w:tc>
        <w:tc>
          <w:tcPr>
            <w:tcW w:w="1193" w:type="dxa"/>
            <w:tcBorders>
              <w:top w:val="single" w:sz="4" w:space="0" w:color="auto"/>
              <w:left w:val="single" w:sz="4" w:space="0" w:color="auto"/>
              <w:bottom w:val="single" w:sz="4" w:space="0" w:color="auto"/>
              <w:right w:val="single" w:sz="4" w:space="0" w:color="auto"/>
            </w:tcBorders>
            <w:hideMark/>
          </w:tcPr>
          <w:p w14:paraId="6E60B545"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 xml:space="preserve"> 30,59</w:t>
            </w:r>
          </w:p>
        </w:tc>
      </w:tr>
      <w:tr w:rsidR="00990C62" w:rsidRPr="00CA28DC" w14:paraId="3823A0B3" w14:textId="77777777" w:rsidTr="00990C62">
        <w:tc>
          <w:tcPr>
            <w:tcW w:w="3539" w:type="dxa"/>
            <w:tcBorders>
              <w:top w:val="single" w:sz="4" w:space="0" w:color="auto"/>
              <w:left w:val="single" w:sz="4" w:space="0" w:color="auto"/>
              <w:bottom w:val="single" w:sz="4" w:space="0" w:color="auto"/>
              <w:right w:val="single" w:sz="4" w:space="0" w:color="auto"/>
            </w:tcBorders>
            <w:hideMark/>
          </w:tcPr>
          <w:p w14:paraId="027872EC" w14:textId="77777777" w:rsidR="00990C62" w:rsidRPr="00CA28DC" w:rsidRDefault="00990C62">
            <w:pPr>
              <w:pStyle w:val="Betarp"/>
              <w:rPr>
                <w:rFonts w:ascii="Times New Roman" w:hAnsi="Times New Roman"/>
                <w:sz w:val="24"/>
                <w:szCs w:val="24"/>
              </w:rPr>
            </w:pPr>
            <w:r w:rsidRPr="00CA28DC">
              <w:rPr>
                <w:rFonts w:ascii="Times New Roman" w:hAnsi="Times New Roman"/>
                <w:sz w:val="24"/>
                <w:szCs w:val="24"/>
              </w:rPr>
              <w:t xml:space="preserve">remonto darbai </w:t>
            </w:r>
          </w:p>
        </w:tc>
        <w:tc>
          <w:tcPr>
            <w:tcW w:w="1193" w:type="dxa"/>
            <w:tcBorders>
              <w:top w:val="single" w:sz="4" w:space="0" w:color="auto"/>
              <w:left w:val="single" w:sz="4" w:space="0" w:color="auto"/>
              <w:bottom w:val="single" w:sz="4" w:space="0" w:color="auto"/>
              <w:right w:val="single" w:sz="4" w:space="0" w:color="auto"/>
            </w:tcBorders>
            <w:hideMark/>
          </w:tcPr>
          <w:p w14:paraId="61DD833A"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18 402</w:t>
            </w:r>
          </w:p>
        </w:tc>
        <w:tc>
          <w:tcPr>
            <w:tcW w:w="1193" w:type="dxa"/>
            <w:tcBorders>
              <w:top w:val="single" w:sz="4" w:space="0" w:color="auto"/>
              <w:left w:val="single" w:sz="4" w:space="0" w:color="auto"/>
              <w:bottom w:val="single" w:sz="4" w:space="0" w:color="auto"/>
              <w:right w:val="single" w:sz="4" w:space="0" w:color="auto"/>
            </w:tcBorders>
            <w:hideMark/>
          </w:tcPr>
          <w:p w14:paraId="0A002A75"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3,11</w:t>
            </w:r>
          </w:p>
        </w:tc>
        <w:tc>
          <w:tcPr>
            <w:tcW w:w="1193" w:type="dxa"/>
            <w:tcBorders>
              <w:top w:val="single" w:sz="4" w:space="0" w:color="auto"/>
              <w:left w:val="single" w:sz="4" w:space="0" w:color="auto"/>
              <w:bottom w:val="single" w:sz="4" w:space="0" w:color="auto"/>
              <w:right w:val="single" w:sz="4" w:space="0" w:color="auto"/>
            </w:tcBorders>
            <w:hideMark/>
          </w:tcPr>
          <w:p w14:paraId="43698194"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20 309</w:t>
            </w:r>
          </w:p>
        </w:tc>
        <w:tc>
          <w:tcPr>
            <w:tcW w:w="1193" w:type="dxa"/>
            <w:tcBorders>
              <w:top w:val="single" w:sz="4" w:space="0" w:color="auto"/>
              <w:left w:val="single" w:sz="4" w:space="0" w:color="auto"/>
              <w:bottom w:val="single" w:sz="4" w:space="0" w:color="auto"/>
              <w:right w:val="single" w:sz="4" w:space="0" w:color="auto"/>
            </w:tcBorders>
            <w:hideMark/>
          </w:tcPr>
          <w:p w14:paraId="419CD1A6"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3,76</w:t>
            </w:r>
          </w:p>
        </w:tc>
      </w:tr>
      <w:tr w:rsidR="00990C62" w:rsidRPr="00CA28DC" w14:paraId="185CDD95" w14:textId="77777777" w:rsidTr="00990C62">
        <w:tc>
          <w:tcPr>
            <w:tcW w:w="3539" w:type="dxa"/>
            <w:tcBorders>
              <w:top w:val="single" w:sz="4" w:space="0" w:color="auto"/>
              <w:left w:val="single" w:sz="4" w:space="0" w:color="auto"/>
              <w:bottom w:val="single" w:sz="4" w:space="0" w:color="auto"/>
              <w:right w:val="single" w:sz="4" w:space="0" w:color="auto"/>
            </w:tcBorders>
            <w:hideMark/>
          </w:tcPr>
          <w:p w14:paraId="49D8D33C" w14:textId="77777777" w:rsidR="00990C62" w:rsidRPr="00CA28DC" w:rsidRDefault="00990C62">
            <w:pPr>
              <w:pStyle w:val="Betarp"/>
              <w:rPr>
                <w:rFonts w:ascii="Times New Roman" w:hAnsi="Times New Roman"/>
                <w:sz w:val="24"/>
                <w:szCs w:val="24"/>
              </w:rPr>
            </w:pPr>
            <w:r w:rsidRPr="00CA28DC">
              <w:rPr>
                <w:rFonts w:ascii="Times New Roman" w:hAnsi="Times New Roman"/>
                <w:sz w:val="24"/>
                <w:szCs w:val="24"/>
              </w:rPr>
              <w:t>lifto paslaugos</w:t>
            </w:r>
          </w:p>
        </w:tc>
        <w:tc>
          <w:tcPr>
            <w:tcW w:w="1193" w:type="dxa"/>
            <w:tcBorders>
              <w:top w:val="single" w:sz="4" w:space="0" w:color="auto"/>
              <w:left w:val="single" w:sz="4" w:space="0" w:color="auto"/>
              <w:bottom w:val="single" w:sz="4" w:space="0" w:color="auto"/>
              <w:right w:val="single" w:sz="4" w:space="0" w:color="auto"/>
            </w:tcBorders>
            <w:hideMark/>
          </w:tcPr>
          <w:p w14:paraId="1E2C8754"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39 401</w:t>
            </w:r>
          </w:p>
        </w:tc>
        <w:tc>
          <w:tcPr>
            <w:tcW w:w="1193" w:type="dxa"/>
            <w:tcBorders>
              <w:top w:val="single" w:sz="4" w:space="0" w:color="auto"/>
              <w:left w:val="single" w:sz="4" w:space="0" w:color="auto"/>
              <w:bottom w:val="single" w:sz="4" w:space="0" w:color="auto"/>
              <w:right w:val="single" w:sz="4" w:space="0" w:color="auto"/>
            </w:tcBorders>
            <w:hideMark/>
          </w:tcPr>
          <w:p w14:paraId="2D5075E3"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6,65</w:t>
            </w:r>
          </w:p>
        </w:tc>
        <w:tc>
          <w:tcPr>
            <w:tcW w:w="1193" w:type="dxa"/>
            <w:tcBorders>
              <w:top w:val="single" w:sz="4" w:space="0" w:color="auto"/>
              <w:left w:val="single" w:sz="4" w:space="0" w:color="auto"/>
              <w:bottom w:val="single" w:sz="4" w:space="0" w:color="auto"/>
              <w:right w:val="single" w:sz="4" w:space="0" w:color="auto"/>
            </w:tcBorders>
            <w:hideMark/>
          </w:tcPr>
          <w:p w14:paraId="02C74D2D"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37 930</w:t>
            </w:r>
          </w:p>
        </w:tc>
        <w:tc>
          <w:tcPr>
            <w:tcW w:w="1193" w:type="dxa"/>
            <w:tcBorders>
              <w:top w:val="single" w:sz="4" w:space="0" w:color="auto"/>
              <w:left w:val="single" w:sz="4" w:space="0" w:color="auto"/>
              <w:bottom w:val="single" w:sz="4" w:space="0" w:color="auto"/>
              <w:right w:val="single" w:sz="4" w:space="0" w:color="auto"/>
            </w:tcBorders>
            <w:hideMark/>
          </w:tcPr>
          <w:p w14:paraId="32E8644E"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7,02</w:t>
            </w:r>
          </w:p>
        </w:tc>
      </w:tr>
      <w:tr w:rsidR="00990C62" w:rsidRPr="00CA28DC" w14:paraId="44C685AF" w14:textId="77777777" w:rsidTr="00990C62">
        <w:tc>
          <w:tcPr>
            <w:tcW w:w="3539" w:type="dxa"/>
            <w:tcBorders>
              <w:top w:val="single" w:sz="4" w:space="0" w:color="auto"/>
              <w:left w:val="single" w:sz="4" w:space="0" w:color="auto"/>
              <w:bottom w:val="single" w:sz="4" w:space="0" w:color="auto"/>
              <w:right w:val="single" w:sz="4" w:space="0" w:color="auto"/>
            </w:tcBorders>
            <w:hideMark/>
          </w:tcPr>
          <w:p w14:paraId="3DAD4E0F" w14:textId="77777777" w:rsidR="00990C62" w:rsidRPr="00CA28DC" w:rsidRDefault="00990C62">
            <w:pPr>
              <w:pStyle w:val="Betarp"/>
              <w:rPr>
                <w:rFonts w:ascii="Times New Roman" w:hAnsi="Times New Roman"/>
                <w:sz w:val="24"/>
                <w:szCs w:val="24"/>
              </w:rPr>
            </w:pPr>
            <w:r w:rsidRPr="00CA28DC">
              <w:rPr>
                <w:rFonts w:ascii="Times New Roman" w:hAnsi="Times New Roman"/>
                <w:sz w:val="24"/>
                <w:szCs w:val="24"/>
              </w:rPr>
              <w:t>kitų paslaugų pajamos</w:t>
            </w:r>
          </w:p>
        </w:tc>
        <w:tc>
          <w:tcPr>
            <w:tcW w:w="1193" w:type="dxa"/>
            <w:tcBorders>
              <w:top w:val="single" w:sz="4" w:space="0" w:color="auto"/>
              <w:left w:val="single" w:sz="4" w:space="0" w:color="auto"/>
              <w:bottom w:val="single" w:sz="4" w:space="0" w:color="auto"/>
              <w:right w:val="single" w:sz="4" w:space="0" w:color="auto"/>
            </w:tcBorders>
            <w:hideMark/>
          </w:tcPr>
          <w:p w14:paraId="3C986061"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51 625</w:t>
            </w:r>
          </w:p>
        </w:tc>
        <w:tc>
          <w:tcPr>
            <w:tcW w:w="1193" w:type="dxa"/>
            <w:tcBorders>
              <w:top w:val="single" w:sz="4" w:space="0" w:color="auto"/>
              <w:left w:val="single" w:sz="4" w:space="0" w:color="auto"/>
              <w:bottom w:val="single" w:sz="4" w:space="0" w:color="auto"/>
              <w:right w:val="single" w:sz="4" w:space="0" w:color="auto"/>
            </w:tcBorders>
            <w:hideMark/>
          </w:tcPr>
          <w:p w14:paraId="3CB6354B"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8,71</w:t>
            </w:r>
          </w:p>
        </w:tc>
        <w:tc>
          <w:tcPr>
            <w:tcW w:w="1193" w:type="dxa"/>
            <w:tcBorders>
              <w:top w:val="single" w:sz="4" w:space="0" w:color="auto"/>
              <w:left w:val="single" w:sz="4" w:space="0" w:color="auto"/>
              <w:bottom w:val="single" w:sz="4" w:space="0" w:color="auto"/>
              <w:right w:val="single" w:sz="4" w:space="0" w:color="auto"/>
            </w:tcBorders>
            <w:hideMark/>
          </w:tcPr>
          <w:p w14:paraId="35273FBC"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 xml:space="preserve"> 57 830</w:t>
            </w:r>
          </w:p>
        </w:tc>
        <w:tc>
          <w:tcPr>
            <w:tcW w:w="1193" w:type="dxa"/>
            <w:tcBorders>
              <w:top w:val="single" w:sz="4" w:space="0" w:color="auto"/>
              <w:left w:val="single" w:sz="4" w:space="0" w:color="auto"/>
              <w:bottom w:val="single" w:sz="4" w:space="0" w:color="auto"/>
              <w:right w:val="single" w:sz="4" w:space="0" w:color="auto"/>
            </w:tcBorders>
            <w:hideMark/>
          </w:tcPr>
          <w:p w14:paraId="3DC4DFB2"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10,70</w:t>
            </w:r>
          </w:p>
        </w:tc>
      </w:tr>
      <w:tr w:rsidR="00990C62" w:rsidRPr="00CA28DC" w14:paraId="69D214F7" w14:textId="77777777" w:rsidTr="00990C62">
        <w:tc>
          <w:tcPr>
            <w:tcW w:w="3539" w:type="dxa"/>
            <w:tcBorders>
              <w:top w:val="single" w:sz="4" w:space="0" w:color="auto"/>
              <w:left w:val="single" w:sz="4" w:space="0" w:color="auto"/>
              <w:bottom w:val="single" w:sz="4" w:space="0" w:color="auto"/>
              <w:right w:val="single" w:sz="4" w:space="0" w:color="auto"/>
            </w:tcBorders>
            <w:hideMark/>
          </w:tcPr>
          <w:p w14:paraId="0F035222" w14:textId="77777777" w:rsidR="00990C62" w:rsidRPr="00CA28DC" w:rsidRDefault="00990C62">
            <w:pPr>
              <w:pStyle w:val="Betarp"/>
              <w:rPr>
                <w:rFonts w:ascii="Times New Roman" w:hAnsi="Times New Roman"/>
                <w:sz w:val="24"/>
                <w:szCs w:val="24"/>
              </w:rPr>
            </w:pPr>
            <w:r w:rsidRPr="00CA28DC">
              <w:rPr>
                <w:rFonts w:ascii="Times New Roman" w:hAnsi="Times New Roman"/>
                <w:sz w:val="24"/>
                <w:szCs w:val="24"/>
              </w:rPr>
              <w:t>administravimo paslaugos</w:t>
            </w:r>
          </w:p>
        </w:tc>
        <w:tc>
          <w:tcPr>
            <w:tcW w:w="1193" w:type="dxa"/>
            <w:tcBorders>
              <w:top w:val="single" w:sz="4" w:space="0" w:color="auto"/>
              <w:left w:val="single" w:sz="4" w:space="0" w:color="auto"/>
              <w:bottom w:val="single" w:sz="4" w:space="0" w:color="auto"/>
              <w:right w:val="single" w:sz="4" w:space="0" w:color="auto"/>
            </w:tcBorders>
            <w:hideMark/>
          </w:tcPr>
          <w:p w14:paraId="0D72A7BD"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71 744</w:t>
            </w:r>
          </w:p>
        </w:tc>
        <w:tc>
          <w:tcPr>
            <w:tcW w:w="1193" w:type="dxa"/>
            <w:tcBorders>
              <w:top w:val="single" w:sz="4" w:space="0" w:color="auto"/>
              <w:left w:val="single" w:sz="4" w:space="0" w:color="auto"/>
              <w:bottom w:val="single" w:sz="4" w:space="0" w:color="auto"/>
              <w:right w:val="single" w:sz="4" w:space="0" w:color="auto"/>
            </w:tcBorders>
            <w:hideMark/>
          </w:tcPr>
          <w:p w14:paraId="0299B8C8"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12,11</w:t>
            </w:r>
          </w:p>
        </w:tc>
        <w:tc>
          <w:tcPr>
            <w:tcW w:w="1193" w:type="dxa"/>
            <w:tcBorders>
              <w:top w:val="single" w:sz="4" w:space="0" w:color="auto"/>
              <w:left w:val="single" w:sz="4" w:space="0" w:color="auto"/>
              <w:bottom w:val="single" w:sz="4" w:space="0" w:color="auto"/>
              <w:right w:val="single" w:sz="4" w:space="0" w:color="auto"/>
            </w:tcBorders>
            <w:hideMark/>
          </w:tcPr>
          <w:p w14:paraId="5E529032"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35 004</w:t>
            </w:r>
          </w:p>
        </w:tc>
        <w:tc>
          <w:tcPr>
            <w:tcW w:w="1193" w:type="dxa"/>
            <w:tcBorders>
              <w:top w:val="single" w:sz="4" w:space="0" w:color="auto"/>
              <w:left w:val="single" w:sz="4" w:space="0" w:color="auto"/>
              <w:bottom w:val="single" w:sz="4" w:space="0" w:color="auto"/>
              <w:right w:val="single" w:sz="4" w:space="0" w:color="auto"/>
            </w:tcBorders>
            <w:hideMark/>
          </w:tcPr>
          <w:p w14:paraId="2072A935"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6,47</w:t>
            </w:r>
          </w:p>
        </w:tc>
      </w:tr>
      <w:tr w:rsidR="00990C62" w:rsidRPr="00CA28DC" w14:paraId="598D82AD" w14:textId="77777777" w:rsidTr="00990C62">
        <w:tc>
          <w:tcPr>
            <w:tcW w:w="3539" w:type="dxa"/>
            <w:tcBorders>
              <w:top w:val="single" w:sz="4" w:space="0" w:color="auto"/>
              <w:left w:val="single" w:sz="4" w:space="0" w:color="auto"/>
              <w:bottom w:val="single" w:sz="4" w:space="0" w:color="auto"/>
              <w:right w:val="single" w:sz="4" w:space="0" w:color="auto"/>
            </w:tcBorders>
            <w:hideMark/>
          </w:tcPr>
          <w:p w14:paraId="3B7B4935" w14:textId="77777777" w:rsidR="00990C62" w:rsidRPr="00CA28DC" w:rsidRDefault="00990C62">
            <w:pPr>
              <w:pStyle w:val="Betarp"/>
              <w:rPr>
                <w:rFonts w:ascii="Times New Roman" w:hAnsi="Times New Roman"/>
                <w:sz w:val="24"/>
                <w:szCs w:val="24"/>
              </w:rPr>
            </w:pPr>
            <w:r w:rsidRPr="00CA28DC">
              <w:rPr>
                <w:rFonts w:ascii="Times New Roman" w:hAnsi="Times New Roman"/>
                <w:sz w:val="24"/>
                <w:szCs w:val="24"/>
              </w:rPr>
              <w:t>renovacijos paslaugos</w:t>
            </w:r>
          </w:p>
        </w:tc>
        <w:tc>
          <w:tcPr>
            <w:tcW w:w="1193" w:type="dxa"/>
            <w:tcBorders>
              <w:top w:val="single" w:sz="4" w:space="0" w:color="auto"/>
              <w:left w:val="single" w:sz="4" w:space="0" w:color="auto"/>
              <w:bottom w:val="single" w:sz="4" w:space="0" w:color="auto"/>
              <w:right w:val="single" w:sz="4" w:space="0" w:color="auto"/>
            </w:tcBorders>
            <w:hideMark/>
          </w:tcPr>
          <w:p w14:paraId="03B44B4D"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17 778</w:t>
            </w:r>
          </w:p>
        </w:tc>
        <w:tc>
          <w:tcPr>
            <w:tcW w:w="1193" w:type="dxa"/>
            <w:tcBorders>
              <w:top w:val="single" w:sz="4" w:space="0" w:color="auto"/>
              <w:left w:val="single" w:sz="4" w:space="0" w:color="auto"/>
              <w:bottom w:val="single" w:sz="4" w:space="0" w:color="auto"/>
              <w:right w:val="single" w:sz="4" w:space="0" w:color="auto"/>
            </w:tcBorders>
            <w:hideMark/>
          </w:tcPr>
          <w:p w14:paraId="36B982AB"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3,00</w:t>
            </w:r>
          </w:p>
        </w:tc>
        <w:tc>
          <w:tcPr>
            <w:tcW w:w="1193" w:type="dxa"/>
            <w:tcBorders>
              <w:top w:val="single" w:sz="4" w:space="0" w:color="auto"/>
              <w:left w:val="single" w:sz="4" w:space="0" w:color="auto"/>
              <w:bottom w:val="single" w:sz="4" w:space="0" w:color="auto"/>
              <w:right w:val="single" w:sz="4" w:space="0" w:color="auto"/>
            </w:tcBorders>
            <w:hideMark/>
          </w:tcPr>
          <w:p w14:paraId="05D6AEB8"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7 871</w:t>
            </w:r>
          </w:p>
        </w:tc>
        <w:tc>
          <w:tcPr>
            <w:tcW w:w="1193" w:type="dxa"/>
            <w:tcBorders>
              <w:top w:val="single" w:sz="4" w:space="0" w:color="auto"/>
              <w:left w:val="single" w:sz="4" w:space="0" w:color="auto"/>
              <w:bottom w:val="single" w:sz="4" w:space="0" w:color="auto"/>
              <w:right w:val="single" w:sz="4" w:space="0" w:color="auto"/>
            </w:tcBorders>
            <w:hideMark/>
          </w:tcPr>
          <w:p w14:paraId="17F97F18"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1,46</w:t>
            </w:r>
          </w:p>
        </w:tc>
      </w:tr>
      <w:tr w:rsidR="00990C62" w:rsidRPr="00CA28DC" w14:paraId="74C6383D" w14:textId="77777777" w:rsidTr="00990C62">
        <w:tc>
          <w:tcPr>
            <w:tcW w:w="3539" w:type="dxa"/>
            <w:tcBorders>
              <w:top w:val="single" w:sz="4" w:space="0" w:color="auto"/>
              <w:left w:val="single" w:sz="4" w:space="0" w:color="auto"/>
              <w:bottom w:val="single" w:sz="4" w:space="0" w:color="auto"/>
              <w:right w:val="single" w:sz="4" w:space="0" w:color="auto"/>
            </w:tcBorders>
            <w:hideMark/>
          </w:tcPr>
          <w:p w14:paraId="24DB0137" w14:textId="77777777" w:rsidR="00990C62" w:rsidRPr="00CA28DC" w:rsidRDefault="00990C62">
            <w:pPr>
              <w:pStyle w:val="Betarp"/>
              <w:rPr>
                <w:rFonts w:ascii="Times New Roman" w:hAnsi="Times New Roman"/>
                <w:sz w:val="24"/>
                <w:szCs w:val="24"/>
              </w:rPr>
            </w:pPr>
            <w:r w:rsidRPr="00CA28DC">
              <w:rPr>
                <w:rFonts w:ascii="Times New Roman" w:hAnsi="Times New Roman"/>
                <w:sz w:val="24"/>
                <w:szCs w:val="24"/>
              </w:rPr>
              <w:t>mokesčių rinkimo paslaugos</w:t>
            </w:r>
          </w:p>
        </w:tc>
        <w:tc>
          <w:tcPr>
            <w:tcW w:w="1193" w:type="dxa"/>
            <w:tcBorders>
              <w:top w:val="single" w:sz="4" w:space="0" w:color="auto"/>
              <w:left w:val="single" w:sz="4" w:space="0" w:color="auto"/>
              <w:bottom w:val="single" w:sz="4" w:space="0" w:color="auto"/>
              <w:right w:val="single" w:sz="4" w:space="0" w:color="auto"/>
            </w:tcBorders>
            <w:hideMark/>
          </w:tcPr>
          <w:p w14:paraId="00CA50B5"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29 348</w:t>
            </w:r>
          </w:p>
        </w:tc>
        <w:tc>
          <w:tcPr>
            <w:tcW w:w="1193" w:type="dxa"/>
            <w:tcBorders>
              <w:top w:val="single" w:sz="4" w:space="0" w:color="auto"/>
              <w:left w:val="single" w:sz="4" w:space="0" w:color="auto"/>
              <w:bottom w:val="single" w:sz="4" w:space="0" w:color="auto"/>
              <w:right w:val="single" w:sz="4" w:space="0" w:color="auto"/>
            </w:tcBorders>
            <w:hideMark/>
          </w:tcPr>
          <w:p w14:paraId="6C86EC4B"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4,95</w:t>
            </w:r>
          </w:p>
        </w:tc>
        <w:tc>
          <w:tcPr>
            <w:tcW w:w="1193" w:type="dxa"/>
            <w:tcBorders>
              <w:top w:val="single" w:sz="4" w:space="0" w:color="auto"/>
              <w:left w:val="single" w:sz="4" w:space="0" w:color="auto"/>
              <w:bottom w:val="single" w:sz="4" w:space="0" w:color="auto"/>
              <w:right w:val="single" w:sz="4" w:space="0" w:color="auto"/>
            </w:tcBorders>
            <w:hideMark/>
          </w:tcPr>
          <w:p w14:paraId="0F23F076"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33 017</w:t>
            </w:r>
          </w:p>
        </w:tc>
        <w:tc>
          <w:tcPr>
            <w:tcW w:w="1193" w:type="dxa"/>
            <w:tcBorders>
              <w:top w:val="single" w:sz="4" w:space="0" w:color="auto"/>
              <w:left w:val="single" w:sz="4" w:space="0" w:color="auto"/>
              <w:bottom w:val="single" w:sz="4" w:space="0" w:color="auto"/>
              <w:right w:val="single" w:sz="4" w:space="0" w:color="auto"/>
            </w:tcBorders>
            <w:hideMark/>
          </w:tcPr>
          <w:p w14:paraId="70CC9D94"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6,11</w:t>
            </w:r>
          </w:p>
        </w:tc>
      </w:tr>
      <w:tr w:rsidR="00990C62" w:rsidRPr="00CA28DC" w14:paraId="04FDD0AA" w14:textId="77777777" w:rsidTr="00990C62">
        <w:tc>
          <w:tcPr>
            <w:tcW w:w="3539" w:type="dxa"/>
            <w:tcBorders>
              <w:top w:val="single" w:sz="4" w:space="0" w:color="auto"/>
              <w:left w:val="single" w:sz="4" w:space="0" w:color="auto"/>
              <w:bottom w:val="single" w:sz="4" w:space="0" w:color="auto"/>
              <w:right w:val="single" w:sz="4" w:space="0" w:color="auto"/>
            </w:tcBorders>
            <w:hideMark/>
          </w:tcPr>
          <w:p w14:paraId="73687790"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IŠ VISO:</w:t>
            </w:r>
          </w:p>
        </w:tc>
        <w:tc>
          <w:tcPr>
            <w:tcW w:w="1193" w:type="dxa"/>
            <w:tcBorders>
              <w:top w:val="single" w:sz="4" w:space="0" w:color="auto"/>
              <w:left w:val="single" w:sz="4" w:space="0" w:color="auto"/>
              <w:bottom w:val="single" w:sz="4" w:space="0" w:color="auto"/>
              <w:right w:val="single" w:sz="4" w:space="0" w:color="auto"/>
            </w:tcBorders>
            <w:hideMark/>
          </w:tcPr>
          <w:p w14:paraId="09BFD5D0"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592 459</w:t>
            </w:r>
          </w:p>
        </w:tc>
        <w:tc>
          <w:tcPr>
            <w:tcW w:w="1193" w:type="dxa"/>
            <w:tcBorders>
              <w:top w:val="single" w:sz="4" w:space="0" w:color="auto"/>
              <w:left w:val="single" w:sz="4" w:space="0" w:color="auto"/>
              <w:bottom w:val="single" w:sz="4" w:space="0" w:color="auto"/>
              <w:right w:val="single" w:sz="4" w:space="0" w:color="auto"/>
            </w:tcBorders>
            <w:hideMark/>
          </w:tcPr>
          <w:p w14:paraId="1F7A41D7"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100</w:t>
            </w:r>
          </w:p>
        </w:tc>
        <w:tc>
          <w:tcPr>
            <w:tcW w:w="1193" w:type="dxa"/>
            <w:tcBorders>
              <w:top w:val="single" w:sz="4" w:space="0" w:color="auto"/>
              <w:left w:val="single" w:sz="4" w:space="0" w:color="auto"/>
              <w:bottom w:val="single" w:sz="4" w:space="0" w:color="auto"/>
              <w:right w:val="single" w:sz="4" w:space="0" w:color="auto"/>
            </w:tcBorders>
            <w:hideMark/>
          </w:tcPr>
          <w:p w14:paraId="303C8E34"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540 618</w:t>
            </w:r>
          </w:p>
        </w:tc>
        <w:tc>
          <w:tcPr>
            <w:tcW w:w="1193" w:type="dxa"/>
            <w:tcBorders>
              <w:top w:val="single" w:sz="4" w:space="0" w:color="auto"/>
              <w:left w:val="single" w:sz="4" w:space="0" w:color="auto"/>
              <w:bottom w:val="single" w:sz="4" w:space="0" w:color="auto"/>
              <w:right w:val="single" w:sz="4" w:space="0" w:color="auto"/>
            </w:tcBorders>
            <w:hideMark/>
          </w:tcPr>
          <w:p w14:paraId="1E28241B" w14:textId="77777777" w:rsidR="00990C62" w:rsidRPr="00CA28DC" w:rsidRDefault="00990C62">
            <w:pPr>
              <w:pStyle w:val="Betarp"/>
              <w:jc w:val="right"/>
              <w:rPr>
                <w:rFonts w:ascii="Times New Roman" w:hAnsi="Times New Roman"/>
                <w:sz w:val="24"/>
                <w:szCs w:val="24"/>
              </w:rPr>
            </w:pPr>
            <w:r w:rsidRPr="00CA28DC">
              <w:rPr>
                <w:rFonts w:ascii="Times New Roman" w:hAnsi="Times New Roman"/>
                <w:sz w:val="24"/>
                <w:szCs w:val="24"/>
              </w:rPr>
              <w:t>100</w:t>
            </w:r>
          </w:p>
        </w:tc>
      </w:tr>
    </w:tbl>
    <w:p w14:paraId="183ACDB8" w14:textId="77777777" w:rsidR="00990C62" w:rsidRPr="00CA28DC" w:rsidRDefault="00990C62" w:rsidP="00990C62">
      <w:pPr>
        <w:pStyle w:val="Betarp"/>
        <w:ind w:firstLine="1296"/>
        <w:rPr>
          <w:rFonts w:ascii="Times New Roman" w:hAnsi="Times New Roman"/>
          <w:sz w:val="24"/>
          <w:szCs w:val="24"/>
        </w:rPr>
      </w:pPr>
    </w:p>
    <w:p w14:paraId="5132BA61" w14:textId="79119EC3" w:rsidR="00990C62" w:rsidRPr="00CA28DC" w:rsidRDefault="00186D20" w:rsidP="00F93627">
      <w:pPr>
        <w:pStyle w:val="Betarp"/>
        <w:jc w:val="both"/>
        <w:rPr>
          <w:rFonts w:ascii="Times New Roman" w:hAnsi="Times New Roman"/>
          <w:sz w:val="24"/>
          <w:szCs w:val="24"/>
        </w:rPr>
      </w:pPr>
      <w:r w:rsidRPr="00CA28DC">
        <w:rPr>
          <w:rFonts w:ascii="Times New Roman" w:hAnsi="Times New Roman"/>
          <w:sz w:val="24"/>
          <w:szCs w:val="24"/>
        </w:rPr>
        <w:tab/>
      </w:r>
      <w:r w:rsidR="00F93627" w:rsidRPr="00CA28DC">
        <w:rPr>
          <w:rFonts w:ascii="Times New Roman" w:hAnsi="Times New Roman"/>
          <w:sz w:val="24"/>
          <w:szCs w:val="24"/>
        </w:rPr>
        <w:t xml:space="preserve">2020 metais pelningos buvo šildymo sistemų priežiūros, eksploatacijos  ir administravimo veiklos. Nuostolį </w:t>
      </w:r>
      <w:proofErr w:type="spellStart"/>
      <w:r w:rsidRPr="00CA28DC">
        <w:rPr>
          <w:rFonts w:ascii="Times New Roman" w:hAnsi="Times New Roman"/>
          <w:sz w:val="24"/>
          <w:szCs w:val="24"/>
        </w:rPr>
        <w:t>pattyrėme</w:t>
      </w:r>
      <w:proofErr w:type="spellEnd"/>
      <w:r w:rsidR="00F93627" w:rsidRPr="00CA28DC">
        <w:rPr>
          <w:rFonts w:ascii="Times New Roman" w:hAnsi="Times New Roman"/>
          <w:sz w:val="24"/>
          <w:szCs w:val="24"/>
        </w:rPr>
        <w:t xml:space="preserve"> iš daugiabučių namų renovacijos, remonto paslaugų ir mokesčių kasų. Paskelbus ekstremalią situaciją dėl </w:t>
      </w:r>
      <w:r w:rsidRPr="00CA28DC">
        <w:rPr>
          <w:rFonts w:ascii="Times New Roman" w:hAnsi="Times New Roman"/>
          <w:sz w:val="24"/>
          <w:szCs w:val="24"/>
        </w:rPr>
        <w:t>COVID</w:t>
      </w:r>
      <w:r w:rsidR="00F93627" w:rsidRPr="00CA28DC">
        <w:rPr>
          <w:rFonts w:ascii="Times New Roman" w:hAnsi="Times New Roman"/>
          <w:sz w:val="24"/>
          <w:szCs w:val="24"/>
        </w:rPr>
        <w:t>-19 pandemijos, sumažėjo mokėjimo paslaugų teikimo pajamos ir praradome dalį klientų ( priimamų įmokų skaičius sumažėjo apie 39 proc.).</w:t>
      </w:r>
    </w:p>
    <w:tbl>
      <w:tblPr>
        <w:tblW w:w="27400" w:type="dxa"/>
        <w:tblInd w:w="-459" w:type="dxa"/>
        <w:tblLayout w:type="fixed"/>
        <w:tblLook w:val="04A0" w:firstRow="1" w:lastRow="0" w:firstColumn="1" w:lastColumn="0" w:noHBand="0" w:noVBand="1"/>
      </w:tblPr>
      <w:tblGrid>
        <w:gridCol w:w="13646"/>
        <w:gridCol w:w="1680"/>
        <w:gridCol w:w="1030"/>
        <w:gridCol w:w="1362"/>
        <w:gridCol w:w="1084"/>
        <w:gridCol w:w="988"/>
        <w:gridCol w:w="1110"/>
        <w:gridCol w:w="855"/>
        <w:gridCol w:w="735"/>
        <w:gridCol w:w="3915"/>
        <w:gridCol w:w="995"/>
      </w:tblGrid>
      <w:tr w:rsidR="002C38D9" w:rsidRPr="00CA28DC" w14:paraId="1D2BB08E" w14:textId="77777777" w:rsidTr="00990C62">
        <w:trPr>
          <w:trHeight w:val="300"/>
        </w:trPr>
        <w:tc>
          <w:tcPr>
            <w:tcW w:w="13646" w:type="dxa"/>
            <w:noWrap/>
            <w:vAlign w:val="bottom"/>
          </w:tcPr>
          <w:p w14:paraId="222505DD" w14:textId="340493E1" w:rsidR="00990C62" w:rsidRPr="00CA28DC" w:rsidRDefault="00990C62" w:rsidP="00186D20">
            <w:pPr>
              <w:tabs>
                <w:tab w:val="left" w:pos="804"/>
                <w:tab w:val="left" w:pos="1735"/>
              </w:tabs>
              <w:rPr>
                <w:sz w:val="24"/>
                <w:szCs w:val="24"/>
                <w:lang w:val="lt-LT"/>
              </w:rPr>
            </w:pPr>
            <w:r w:rsidRPr="00CA28DC">
              <w:rPr>
                <w:b/>
                <w:sz w:val="24"/>
                <w:szCs w:val="24"/>
                <w:lang w:val="lt-LT"/>
              </w:rPr>
              <w:t xml:space="preserve">           </w:t>
            </w:r>
            <w:r w:rsidR="00186D20" w:rsidRPr="00CA28DC">
              <w:rPr>
                <w:b/>
                <w:sz w:val="24"/>
                <w:szCs w:val="24"/>
                <w:lang w:val="lt-LT"/>
              </w:rPr>
              <w:t xml:space="preserve">       </w:t>
            </w:r>
            <w:r w:rsidRPr="00CA28DC">
              <w:rPr>
                <w:sz w:val="24"/>
                <w:szCs w:val="24"/>
                <w:lang w:val="lt-LT"/>
              </w:rPr>
              <w:t xml:space="preserve">Pajamų ir sąnaudų pasiskirstymą pagal veiklų padalinius pateikiame lentelėje (Eur):   </w:t>
            </w:r>
          </w:p>
          <w:p w14:paraId="015EB4F9" w14:textId="77777777" w:rsidR="00990C62" w:rsidRPr="00CA28DC" w:rsidRDefault="00990C62">
            <w:pPr>
              <w:rPr>
                <w:sz w:val="24"/>
                <w:szCs w:val="24"/>
                <w:lang w:val="lt-LT" w:eastAsia="en-US"/>
              </w:rPr>
            </w:pPr>
          </w:p>
        </w:tc>
        <w:tc>
          <w:tcPr>
            <w:tcW w:w="2710" w:type="dxa"/>
            <w:gridSpan w:val="2"/>
            <w:noWrap/>
            <w:vAlign w:val="bottom"/>
            <w:hideMark/>
          </w:tcPr>
          <w:p w14:paraId="29516516" w14:textId="77777777" w:rsidR="00990C62" w:rsidRPr="00CA28DC" w:rsidRDefault="00990C62">
            <w:pPr>
              <w:rPr>
                <w:b/>
                <w:bCs/>
                <w:sz w:val="24"/>
                <w:szCs w:val="24"/>
                <w:u w:val="single"/>
                <w:lang w:val="lt-LT"/>
              </w:rPr>
            </w:pPr>
            <w:r w:rsidRPr="00CA28DC">
              <w:rPr>
                <w:b/>
                <w:bCs/>
                <w:sz w:val="24"/>
                <w:szCs w:val="24"/>
                <w:u w:val="single"/>
                <w:lang w:val="lt-LT"/>
              </w:rPr>
              <w:t xml:space="preserve">    </w:t>
            </w:r>
          </w:p>
        </w:tc>
        <w:tc>
          <w:tcPr>
            <w:tcW w:w="1362" w:type="dxa"/>
            <w:noWrap/>
            <w:vAlign w:val="bottom"/>
            <w:hideMark/>
          </w:tcPr>
          <w:p w14:paraId="329FD26A" w14:textId="77777777" w:rsidR="00990C62" w:rsidRPr="00CA28DC" w:rsidRDefault="00990C62">
            <w:pPr>
              <w:spacing w:line="276" w:lineRule="auto"/>
              <w:rPr>
                <w:sz w:val="24"/>
                <w:szCs w:val="24"/>
                <w:lang w:val="lt-LT" w:eastAsia="en-US"/>
              </w:rPr>
            </w:pPr>
          </w:p>
        </w:tc>
        <w:tc>
          <w:tcPr>
            <w:tcW w:w="1084" w:type="dxa"/>
            <w:noWrap/>
            <w:vAlign w:val="bottom"/>
            <w:hideMark/>
          </w:tcPr>
          <w:p w14:paraId="3857EE2F" w14:textId="77777777" w:rsidR="00990C62" w:rsidRPr="00CA28DC" w:rsidRDefault="00990C62">
            <w:pPr>
              <w:spacing w:line="276" w:lineRule="auto"/>
              <w:rPr>
                <w:sz w:val="24"/>
                <w:szCs w:val="24"/>
                <w:lang w:val="lt-LT" w:eastAsia="en-US"/>
              </w:rPr>
            </w:pPr>
          </w:p>
        </w:tc>
        <w:tc>
          <w:tcPr>
            <w:tcW w:w="988" w:type="dxa"/>
            <w:noWrap/>
            <w:vAlign w:val="bottom"/>
            <w:hideMark/>
          </w:tcPr>
          <w:p w14:paraId="20594FB7" w14:textId="77777777" w:rsidR="00990C62" w:rsidRPr="00CA28DC" w:rsidRDefault="00990C62">
            <w:pPr>
              <w:spacing w:line="276" w:lineRule="auto"/>
              <w:rPr>
                <w:sz w:val="24"/>
                <w:szCs w:val="24"/>
                <w:lang w:val="lt-LT" w:eastAsia="en-US"/>
              </w:rPr>
            </w:pPr>
          </w:p>
        </w:tc>
        <w:tc>
          <w:tcPr>
            <w:tcW w:w="1110" w:type="dxa"/>
            <w:noWrap/>
            <w:vAlign w:val="bottom"/>
            <w:hideMark/>
          </w:tcPr>
          <w:p w14:paraId="1D53D7FB" w14:textId="77777777" w:rsidR="00990C62" w:rsidRPr="00CA28DC" w:rsidRDefault="00990C62">
            <w:pPr>
              <w:spacing w:line="276" w:lineRule="auto"/>
              <w:rPr>
                <w:sz w:val="24"/>
                <w:szCs w:val="24"/>
                <w:lang w:val="lt-LT" w:eastAsia="en-US"/>
              </w:rPr>
            </w:pPr>
          </w:p>
        </w:tc>
        <w:tc>
          <w:tcPr>
            <w:tcW w:w="855" w:type="dxa"/>
            <w:noWrap/>
            <w:vAlign w:val="bottom"/>
            <w:hideMark/>
          </w:tcPr>
          <w:p w14:paraId="34916A03" w14:textId="77777777" w:rsidR="00990C62" w:rsidRPr="00CA28DC" w:rsidRDefault="00990C62">
            <w:pPr>
              <w:rPr>
                <w:sz w:val="24"/>
                <w:szCs w:val="24"/>
                <w:lang w:val="lt-LT"/>
              </w:rPr>
            </w:pPr>
            <w:r w:rsidRPr="00CA28DC">
              <w:rPr>
                <w:sz w:val="24"/>
                <w:szCs w:val="24"/>
                <w:lang w:val="lt-LT"/>
              </w:rPr>
              <w:t>(litais)</w:t>
            </w:r>
          </w:p>
        </w:tc>
        <w:tc>
          <w:tcPr>
            <w:tcW w:w="735" w:type="dxa"/>
            <w:noWrap/>
            <w:vAlign w:val="bottom"/>
            <w:hideMark/>
          </w:tcPr>
          <w:p w14:paraId="499CC6E9" w14:textId="77777777" w:rsidR="00990C62" w:rsidRPr="00CA28DC" w:rsidRDefault="00990C62">
            <w:pPr>
              <w:spacing w:line="276" w:lineRule="auto"/>
              <w:rPr>
                <w:sz w:val="24"/>
                <w:szCs w:val="24"/>
                <w:lang w:val="lt-LT" w:eastAsia="en-US"/>
              </w:rPr>
            </w:pPr>
          </w:p>
        </w:tc>
        <w:tc>
          <w:tcPr>
            <w:tcW w:w="3915" w:type="dxa"/>
            <w:noWrap/>
            <w:vAlign w:val="bottom"/>
            <w:hideMark/>
          </w:tcPr>
          <w:p w14:paraId="1E87BFF9" w14:textId="77777777" w:rsidR="00990C62" w:rsidRPr="00CA28DC" w:rsidRDefault="00990C62">
            <w:pPr>
              <w:spacing w:line="276" w:lineRule="auto"/>
              <w:rPr>
                <w:sz w:val="24"/>
                <w:szCs w:val="24"/>
                <w:lang w:val="lt-LT" w:eastAsia="en-US"/>
              </w:rPr>
            </w:pPr>
          </w:p>
        </w:tc>
        <w:tc>
          <w:tcPr>
            <w:tcW w:w="995" w:type="dxa"/>
            <w:noWrap/>
            <w:vAlign w:val="bottom"/>
            <w:hideMark/>
          </w:tcPr>
          <w:p w14:paraId="58DC7970" w14:textId="77777777" w:rsidR="00990C62" w:rsidRPr="00CA28DC" w:rsidRDefault="00990C62">
            <w:pPr>
              <w:spacing w:line="276" w:lineRule="auto"/>
              <w:rPr>
                <w:sz w:val="24"/>
                <w:szCs w:val="24"/>
                <w:lang w:val="lt-LT" w:eastAsia="en-US"/>
              </w:rPr>
            </w:pPr>
          </w:p>
        </w:tc>
      </w:tr>
      <w:tr w:rsidR="002C38D9" w:rsidRPr="00CA28DC" w14:paraId="204616C8" w14:textId="77777777" w:rsidTr="00990C62">
        <w:trPr>
          <w:trHeight w:val="300"/>
        </w:trPr>
        <w:tc>
          <w:tcPr>
            <w:tcW w:w="13646" w:type="dxa"/>
            <w:noWrap/>
            <w:vAlign w:val="bottom"/>
            <w:hideMark/>
          </w:tcPr>
          <w:tbl>
            <w:tblPr>
              <w:tblW w:w="9559" w:type="dxa"/>
              <w:tblInd w:w="539" w:type="dxa"/>
              <w:tblLayout w:type="fixed"/>
              <w:tblLook w:val="04A0" w:firstRow="1" w:lastRow="0" w:firstColumn="1" w:lastColumn="0" w:noHBand="0" w:noVBand="1"/>
            </w:tblPr>
            <w:tblGrid>
              <w:gridCol w:w="9559"/>
            </w:tblGrid>
            <w:tr w:rsidR="002C38D9" w:rsidRPr="00CA28DC" w14:paraId="439601FB" w14:textId="77777777" w:rsidTr="00F93627">
              <w:trPr>
                <w:trHeight w:val="317"/>
              </w:trPr>
              <w:tc>
                <w:tcPr>
                  <w:tcW w:w="9559" w:type="dxa"/>
                  <w:vMerge w:val="restart"/>
                  <w:tcBorders>
                    <w:top w:val="nil"/>
                    <w:left w:val="nil"/>
                    <w:bottom w:val="nil"/>
                    <w:right w:val="single" w:sz="4" w:space="0" w:color="auto"/>
                  </w:tcBorders>
                </w:tcPr>
                <w:p w14:paraId="3020FC85" w14:textId="77777777" w:rsidR="00990C62" w:rsidRPr="00CA28DC" w:rsidRDefault="00990C62">
                  <w:pPr>
                    <w:pStyle w:val="Betarp"/>
                    <w:spacing w:line="276" w:lineRule="auto"/>
                    <w:jc w:val="both"/>
                    <w:rPr>
                      <w:rFonts w:ascii="Times New Roman" w:hAnsi="Times New Roman"/>
                      <w:sz w:val="24"/>
                      <w:szCs w:val="24"/>
                    </w:rPr>
                  </w:pPr>
                </w:p>
                <w:tbl>
                  <w:tblPr>
                    <w:tblW w:w="9443" w:type="dxa"/>
                    <w:tblInd w:w="3" w:type="dxa"/>
                    <w:tblLayout w:type="fixed"/>
                    <w:tblLook w:val="04A0" w:firstRow="1" w:lastRow="0" w:firstColumn="1" w:lastColumn="0" w:noHBand="0" w:noVBand="1"/>
                  </w:tblPr>
                  <w:tblGrid>
                    <w:gridCol w:w="554"/>
                    <w:gridCol w:w="2878"/>
                    <w:gridCol w:w="1233"/>
                    <w:gridCol w:w="87"/>
                    <w:gridCol w:w="1160"/>
                    <w:gridCol w:w="1439"/>
                    <w:gridCol w:w="1161"/>
                    <w:gridCol w:w="931"/>
                  </w:tblGrid>
                  <w:tr w:rsidR="002C38D9" w:rsidRPr="00CA28DC" w14:paraId="781BCAF6" w14:textId="77777777" w:rsidTr="00F93627">
                    <w:trPr>
                      <w:trHeight w:val="362"/>
                    </w:trPr>
                    <w:tc>
                      <w:tcPr>
                        <w:tcW w:w="554" w:type="dxa"/>
                        <w:vMerge w:val="restart"/>
                        <w:tcBorders>
                          <w:top w:val="single" w:sz="4" w:space="0" w:color="auto"/>
                          <w:left w:val="single" w:sz="4" w:space="0" w:color="auto"/>
                          <w:bottom w:val="single" w:sz="4" w:space="0" w:color="000000"/>
                          <w:right w:val="single" w:sz="4" w:space="0" w:color="auto"/>
                        </w:tcBorders>
                        <w:hideMark/>
                      </w:tcPr>
                      <w:p w14:paraId="7C845859" w14:textId="77777777" w:rsidR="00990C62" w:rsidRPr="00CA28DC" w:rsidRDefault="00990C62">
                        <w:pPr>
                          <w:jc w:val="center"/>
                          <w:rPr>
                            <w:sz w:val="24"/>
                            <w:szCs w:val="24"/>
                            <w:lang w:val="lt-LT"/>
                          </w:rPr>
                        </w:pPr>
                        <w:r w:rsidRPr="00CA28DC">
                          <w:rPr>
                            <w:sz w:val="24"/>
                            <w:szCs w:val="24"/>
                            <w:lang w:val="lt-LT"/>
                          </w:rPr>
                          <w:lastRenderedPageBreak/>
                          <w:t>Eil. Nr.</w:t>
                        </w:r>
                      </w:p>
                    </w:tc>
                    <w:tc>
                      <w:tcPr>
                        <w:tcW w:w="2878" w:type="dxa"/>
                        <w:vMerge w:val="restart"/>
                        <w:tcBorders>
                          <w:top w:val="single" w:sz="4" w:space="0" w:color="auto"/>
                          <w:left w:val="single" w:sz="4" w:space="0" w:color="auto"/>
                          <w:bottom w:val="single" w:sz="4" w:space="0" w:color="000000"/>
                          <w:right w:val="single" w:sz="4" w:space="0" w:color="auto"/>
                        </w:tcBorders>
                        <w:hideMark/>
                      </w:tcPr>
                      <w:p w14:paraId="7C3E4CF5" w14:textId="77777777" w:rsidR="00990C62" w:rsidRPr="00CA28DC" w:rsidRDefault="00990C62">
                        <w:pPr>
                          <w:jc w:val="center"/>
                          <w:rPr>
                            <w:sz w:val="24"/>
                            <w:szCs w:val="24"/>
                            <w:lang w:val="lt-LT"/>
                          </w:rPr>
                        </w:pPr>
                        <w:r w:rsidRPr="00CA28DC">
                          <w:rPr>
                            <w:sz w:val="24"/>
                            <w:szCs w:val="24"/>
                            <w:lang w:val="lt-LT"/>
                          </w:rPr>
                          <w:t>Straipsniai</w:t>
                        </w:r>
                      </w:p>
                    </w:tc>
                    <w:tc>
                      <w:tcPr>
                        <w:tcW w:w="1320" w:type="dxa"/>
                        <w:gridSpan w:val="2"/>
                        <w:tcBorders>
                          <w:top w:val="single" w:sz="4" w:space="0" w:color="auto"/>
                          <w:left w:val="nil"/>
                          <w:bottom w:val="single" w:sz="4" w:space="0" w:color="auto"/>
                          <w:right w:val="nil"/>
                        </w:tcBorders>
                      </w:tcPr>
                      <w:p w14:paraId="7D1B524E" w14:textId="77777777" w:rsidR="00990C62" w:rsidRPr="00CA28DC" w:rsidRDefault="00990C62">
                        <w:pPr>
                          <w:jc w:val="center"/>
                          <w:rPr>
                            <w:sz w:val="24"/>
                            <w:szCs w:val="24"/>
                            <w:lang w:val="lt-LT"/>
                          </w:rPr>
                        </w:pPr>
                      </w:p>
                    </w:tc>
                    <w:tc>
                      <w:tcPr>
                        <w:tcW w:w="3760" w:type="dxa"/>
                        <w:gridSpan w:val="3"/>
                        <w:tcBorders>
                          <w:top w:val="single" w:sz="4" w:space="0" w:color="auto"/>
                          <w:left w:val="nil"/>
                          <w:bottom w:val="single" w:sz="4" w:space="0" w:color="auto"/>
                          <w:right w:val="single" w:sz="4" w:space="0" w:color="auto"/>
                        </w:tcBorders>
                        <w:hideMark/>
                      </w:tcPr>
                      <w:p w14:paraId="1C316B8E" w14:textId="77777777" w:rsidR="00990C62" w:rsidRPr="00CA28DC" w:rsidRDefault="00990C62">
                        <w:pPr>
                          <w:jc w:val="center"/>
                          <w:rPr>
                            <w:sz w:val="24"/>
                            <w:szCs w:val="24"/>
                            <w:lang w:val="lt-LT"/>
                          </w:rPr>
                        </w:pPr>
                        <w:r w:rsidRPr="00CA28DC">
                          <w:rPr>
                            <w:sz w:val="24"/>
                            <w:szCs w:val="24"/>
                            <w:lang w:val="lt-LT"/>
                          </w:rPr>
                          <w:t xml:space="preserve"> Ataskaitinis laikotarpis </w:t>
                        </w:r>
                      </w:p>
                    </w:tc>
                    <w:tc>
                      <w:tcPr>
                        <w:tcW w:w="931" w:type="dxa"/>
                        <w:tcBorders>
                          <w:top w:val="single" w:sz="4" w:space="0" w:color="auto"/>
                          <w:left w:val="nil"/>
                          <w:bottom w:val="single" w:sz="4" w:space="0" w:color="auto"/>
                          <w:right w:val="single" w:sz="4" w:space="0" w:color="auto"/>
                        </w:tcBorders>
                        <w:noWrap/>
                        <w:vAlign w:val="bottom"/>
                        <w:hideMark/>
                      </w:tcPr>
                      <w:p w14:paraId="2EF7EBBF" w14:textId="77777777" w:rsidR="00990C62" w:rsidRPr="00CA28DC" w:rsidRDefault="00990C62">
                        <w:pPr>
                          <w:rPr>
                            <w:sz w:val="24"/>
                            <w:szCs w:val="24"/>
                            <w:lang w:val="lt-LT"/>
                          </w:rPr>
                        </w:pPr>
                        <w:r w:rsidRPr="00CA28DC">
                          <w:rPr>
                            <w:sz w:val="24"/>
                            <w:szCs w:val="24"/>
                            <w:lang w:val="lt-LT"/>
                          </w:rPr>
                          <w:t> </w:t>
                        </w:r>
                      </w:p>
                    </w:tc>
                  </w:tr>
                  <w:tr w:rsidR="002C38D9" w:rsidRPr="00CA28DC" w14:paraId="6653A072" w14:textId="77777777" w:rsidTr="00F93627">
                    <w:trPr>
                      <w:trHeight w:val="1195"/>
                    </w:trPr>
                    <w:tc>
                      <w:tcPr>
                        <w:tcW w:w="554" w:type="dxa"/>
                        <w:vMerge/>
                        <w:tcBorders>
                          <w:top w:val="single" w:sz="4" w:space="0" w:color="auto"/>
                          <w:left w:val="single" w:sz="4" w:space="0" w:color="auto"/>
                          <w:bottom w:val="single" w:sz="4" w:space="0" w:color="000000"/>
                          <w:right w:val="single" w:sz="4" w:space="0" w:color="auto"/>
                        </w:tcBorders>
                        <w:vAlign w:val="center"/>
                        <w:hideMark/>
                      </w:tcPr>
                      <w:p w14:paraId="5D4631A2" w14:textId="77777777" w:rsidR="00990C62" w:rsidRPr="00CA28DC" w:rsidRDefault="00990C62">
                        <w:pPr>
                          <w:rPr>
                            <w:sz w:val="24"/>
                            <w:szCs w:val="24"/>
                            <w:lang w:val="lt-LT"/>
                          </w:rPr>
                        </w:pPr>
                      </w:p>
                    </w:tc>
                    <w:tc>
                      <w:tcPr>
                        <w:tcW w:w="2878" w:type="dxa"/>
                        <w:vMerge/>
                        <w:tcBorders>
                          <w:top w:val="single" w:sz="4" w:space="0" w:color="auto"/>
                          <w:left w:val="single" w:sz="4" w:space="0" w:color="auto"/>
                          <w:bottom w:val="single" w:sz="4" w:space="0" w:color="000000"/>
                          <w:right w:val="single" w:sz="4" w:space="0" w:color="auto"/>
                        </w:tcBorders>
                        <w:vAlign w:val="center"/>
                        <w:hideMark/>
                      </w:tcPr>
                      <w:p w14:paraId="68EAEDD7" w14:textId="77777777" w:rsidR="00990C62" w:rsidRPr="00CA28DC" w:rsidRDefault="00990C62">
                        <w:pPr>
                          <w:rPr>
                            <w:sz w:val="24"/>
                            <w:szCs w:val="24"/>
                            <w:lang w:val="lt-LT"/>
                          </w:rPr>
                        </w:pPr>
                      </w:p>
                    </w:tc>
                    <w:tc>
                      <w:tcPr>
                        <w:tcW w:w="1233" w:type="dxa"/>
                        <w:tcBorders>
                          <w:top w:val="nil"/>
                          <w:left w:val="nil"/>
                          <w:bottom w:val="single" w:sz="4" w:space="0" w:color="auto"/>
                          <w:right w:val="single" w:sz="4" w:space="0" w:color="auto"/>
                        </w:tcBorders>
                        <w:vAlign w:val="center"/>
                        <w:hideMark/>
                      </w:tcPr>
                      <w:p w14:paraId="17B330B7" w14:textId="77777777" w:rsidR="00990C62" w:rsidRPr="00CA28DC" w:rsidRDefault="00990C62">
                        <w:pPr>
                          <w:rPr>
                            <w:sz w:val="24"/>
                            <w:szCs w:val="24"/>
                            <w:lang w:val="lt-LT"/>
                          </w:rPr>
                        </w:pPr>
                        <w:r w:rsidRPr="00CA28DC">
                          <w:rPr>
                            <w:sz w:val="24"/>
                            <w:szCs w:val="24"/>
                            <w:lang w:val="lt-LT"/>
                          </w:rPr>
                          <w:t>Pastatų priežiūros padalinys</w:t>
                        </w:r>
                      </w:p>
                    </w:tc>
                    <w:tc>
                      <w:tcPr>
                        <w:tcW w:w="1247" w:type="dxa"/>
                        <w:gridSpan w:val="2"/>
                        <w:tcBorders>
                          <w:top w:val="nil"/>
                          <w:left w:val="nil"/>
                          <w:bottom w:val="single" w:sz="4" w:space="0" w:color="auto"/>
                          <w:right w:val="single" w:sz="4" w:space="0" w:color="auto"/>
                        </w:tcBorders>
                        <w:hideMark/>
                      </w:tcPr>
                      <w:p w14:paraId="5060ADA1" w14:textId="77777777" w:rsidR="00990C62" w:rsidRPr="00CA28DC" w:rsidRDefault="00990C62">
                        <w:pPr>
                          <w:jc w:val="center"/>
                          <w:rPr>
                            <w:sz w:val="24"/>
                            <w:szCs w:val="24"/>
                            <w:lang w:val="lt-LT"/>
                          </w:rPr>
                        </w:pPr>
                        <w:r w:rsidRPr="00CA28DC">
                          <w:rPr>
                            <w:sz w:val="24"/>
                            <w:szCs w:val="24"/>
                            <w:lang w:val="lt-LT"/>
                          </w:rPr>
                          <w:t xml:space="preserve">DN </w:t>
                        </w:r>
                        <w:proofErr w:type="spellStart"/>
                        <w:r w:rsidRPr="00CA28DC">
                          <w:rPr>
                            <w:sz w:val="24"/>
                            <w:szCs w:val="24"/>
                            <w:lang w:val="lt-LT"/>
                          </w:rPr>
                          <w:t>administra-</w:t>
                        </w:r>
                        <w:proofErr w:type="spellEnd"/>
                      </w:p>
                      <w:p w14:paraId="27F1C877" w14:textId="77777777" w:rsidR="00990C62" w:rsidRPr="00CA28DC" w:rsidRDefault="00990C62">
                        <w:pPr>
                          <w:jc w:val="center"/>
                          <w:rPr>
                            <w:sz w:val="24"/>
                            <w:szCs w:val="24"/>
                            <w:lang w:val="lt-LT"/>
                          </w:rPr>
                        </w:pPr>
                        <w:r w:rsidRPr="00CA28DC">
                          <w:rPr>
                            <w:sz w:val="24"/>
                            <w:szCs w:val="24"/>
                            <w:lang w:val="lt-LT"/>
                          </w:rPr>
                          <w:t>vimo</w:t>
                        </w:r>
                      </w:p>
                      <w:p w14:paraId="01A441F2" w14:textId="77777777" w:rsidR="00990C62" w:rsidRPr="00CA28DC" w:rsidRDefault="00990C62">
                        <w:pPr>
                          <w:jc w:val="center"/>
                          <w:rPr>
                            <w:sz w:val="24"/>
                            <w:szCs w:val="24"/>
                            <w:lang w:val="lt-LT"/>
                          </w:rPr>
                        </w:pPr>
                        <w:r w:rsidRPr="00CA28DC">
                          <w:rPr>
                            <w:sz w:val="24"/>
                            <w:szCs w:val="24"/>
                            <w:lang w:val="lt-LT"/>
                          </w:rPr>
                          <w:t>padalinys</w:t>
                        </w:r>
                      </w:p>
                    </w:tc>
                    <w:tc>
                      <w:tcPr>
                        <w:tcW w:w="1439" w:type="dxa"/>
                        <w:tcBorders>
                          <w:top w:val="nil"/>
                          <w:left w:val="single" w:sz="4" w:space="0" w:color="auto"/>
                          <w:bottom w:val="single" w:sz="4" w:space="0" w:color="auto"/>
                          <w:right w:val="single" w:sz="4" w:space="0" w:color="auto"/>
                        </w:tcBorders>
                        <w:vAlign w:val="bottom"/>
                        <w:hideMark/>
                      </w:tcPr>
                      <w:p w14:paraId="158283AF" w14:textId="77777777" w:rsidR="00990C62" w:rsidRPr="00CA28DC" w:rsidRDefault="00990C62">
                        <w:pPr>
                          <w:jc w:val="center"/>
                          <w:rPr>
                            <w:sz w:val="24"/>
                            <w:szCs w:val="24"/>
                            <w:lang w:val="lt-LT"/>
                          </w:rPr>
                        </w:pPr>
                        <w:r w:rsidRPr="00CA28DC">
                          <w:rPr>
                            <w:sz w:val="24"/>
                            <w:szCs w:val="24"/>
                            <w:lang w:val="lt-LT"/>
                          </w:rPr>
                          <w:t>DN  renovacijos padalinys</w:t>
                        </w:r>
                      </w:p>
                    </w:tc>
                    <w:tc>
                      <w:tcPr>
                        <w:tcW w:w="1161" w:type="dxa"/>
                        <w:tcBorders>
                          <w:top w:val="nil"/>
                          <w:left w:val="nil"/>
                          <w:bottom w:val="single" w:sz="4" w:space="0" w:color="auto"/>
                          <w:right w:val="single" w:sz="4" w:space="0" w:color="auto"/>
                        </w:tcBorders>
                        <w:vAlign w:val="center"/>
                        <w:hideMark/>
                      </w:tcPr>
                      <w:p w14:paraId="4B028ED7" w14:textId="77777777" w:rsidR="00990C62" w:rsidRPr="00CA28DC" w:rsidRDefault="00990C62">
                        <w:pPr>
                          <w:jc w:val="center"/>
                          <w:rPr>
                            <w:sz w:val="24"/>
                            <w:szCs w:val="24"/>
                            <w:lang w:val="lt-LT"/>
                          </w:rPr>
                        </w:pPr>
                        <w:r w:rsidRPr="00CA28DC">
                          <w:rPr>
                            <w:sz w:val="24"/>
                            <w:szCs w:val="24"/>
                            <w:lang w:val="lt-LT"/>
                          </w:rPr>
                          <w:t xml:space="preserve"> Mokesčių rinkimo padalinys </w:t>
                        </w:r>
                      </w:p>
                    </w:tc>
                    <w:tc>
                      <w:tcPr>
                        <w:tcW w:w="931" w:type="dxa"/>
                        <w:tcBorders>
                          <w:top w:val="nil"/>
                          <w:left w:val="nil"/>
                          <w:bottom w:val="single" w:sz="4" w:space="0" w:color="auto"/>
                          <w:right w:val="single" w:sz="4" w:space="0" w:color="auto"/>
                        </w:tcBorders>
                        <w:noWrap/>
                        <w:vAlign w:val="center"/>
                        <w:hideMark/>
                      </w:tcPr>
                      <w:p w14:paraId="3C2EB146" w14:textId="1D07B17C" w:rsidR="00990C62" w:rsidRPr="00CA28DC" w:rsidRDefault="00F93627" w:rsidP="00F93627">
                        <w:pPr>
                          <w:jc w:val="center"/>
                          <w:rPr>
                            <w:sz w:val="24"/>
                            <w:szCs w:val="24"/>
                            <w:lang w:val="lt-LT"/>
                          </w:rPr>
                        </w:pPr>
                        <w:r w:rsidRPr="00CA28DC">
                          <w:rPr>
                            <w:sz w:val="24"/>
                            <w:szCs w:val="24"/>
                            <w:lang w:val="lt-LT"/>
                          </w:rPr>
                          <w:t>IŠ VIS</w:t>
                        </w:r>
                        <w:r w:rsidR="00990C62" w:rsidRPr="00CA28DC">
                          <w:rPr>
                            <w:sz w:val="24"/>
                            <w:szCs w:val="24"/>
                            <w:lang w:val="lt-LT"/>
                          </w:rPr>
                          <w:t>O:</w:t>
                        </w:r>
                      </w:p>
                    </w:tc>
                  </w:tr>
                  <w:tr w:rsidR="002C38D9" w:rsidRPr="00CA28DC" w14:paraId="496EA5FE" w14:textId="77777777" w:rsidTr="00F93627">
                    <w:trPr>
                      <w:trHeight w:val="352"/>
                    </w:trPr>
                    <w:tc>
                      <w:tcPr>
                        <w:tcW w:w="554" w:type="dxa"/>
                        <w:tcBorders>
                          <w:top w:val="nil"/>
                          <w:left w:val="single" w:sz="4" w:space="0" w:color="auto"/>
                          <w:bottom w:val="single" w:sz="4" w:space="0" w:color="auto"/>
                          <w:right w:val="single" w:sz="4" w:space="0" w:color="auto"/>
                        </w:tcBorders>
                        <w:noWrap/>
                        <w:hideMark/>
                      </w:tcPr>
                      <w:p w14:paraId="313F2356" w14:textId="77777777" w:rsidR="00990C62" w:rsidRPr="00CA28DC" w:rsidRDefault="00990C62">
                        <w:pPr>
                          <w:rPr>
                            <w:sz w:val="24"/>
                            <w:szCs w:val="24"/>
                            <w:lang w:val="lt-LT"/>
                          </w:rPr>
                        </w:pPr>
                        <w:r w:rsidRPr="00CA28DC">
                          <w:rPr>
                            <w:sz w:val="24"/>
                            <w:szCs w:val="24"/>
                            <w:lang w:val="lt-LT"/>
                          </w:rPr>
                          <w:t>1.</w:t>
                        </w:r>
                      </w:p>
                    </w:tc>
                    <w:tc>
                      <w:tcPr>
                        <w:tcW w:w="2878" w:type="dxa"/>
                        <w:tcBorders>
                          <w:top w:val="nil"/>
                          <w:left w:val="nil"/>
                          <w:bottom w:val="single" w:sz="4" w:space="0" w:color="auto"/>
                          <w:right w:val="nil"/>
                        </w:tcBorders>
                        <w:noWrap/>
                        <w:hideMark/>
                      </w:tcPr>
                      <w:p w14:paraId="5E3B5FA0" w14:textId="77777777" w:rsidR="00990C62" w:rsidRPr="00CA28DC" w:rsidRDefault="00990C62">
                        <w:pPr>
                          <w:rPr>
                            <w:sz w:val="24"/>
                            <w:szCs w:val="24"/>
                            <w:lang w:val="lt-LT"/>
                          </w:rPr>
                        </w:pPr>
                        <w:r w:rsidRPr="00CA28DC">
                          <w:rPr>
                            <w:sz w:val="24"/>
                            <w:szCs w:val="24"/>
                            <w:lang w:val="lt-LT"/>
                          </w:rPr>
                          <w:t>Pajamos (iš jų dotacijos ar kompensacijos)</w:t>
                        </w:r>
                      </w:p>
                    </w:tc>
                    <w:tc>
                      <w:tcPr>
                        <w:tcW w:w="1233" w:type="dxa"/>
                        <w:tcBorders>
                          <w:top w:val="nil"/>
                          <w:left w:val="single" w:sz="4" w:space="0" w:color="auto"/>
                          <w:bottom w:val="single" w:sz="4" w:space="0" w:color="auto"/>
                          <w:right w:val="single" w:sz="4" w:space="0" w:color="auto"/>
                        </w:tcBorders>
                        <w:noWrap/>
                        <w:vAlign w:val="bottom"/>
                        <w:hideMark/>
                      </w:tcPr>
                      <w:p w14:paraId="26D05E9C" w14:textId="77777777" w:rsidR="00990C62" w:rsidRPr="00CA28DC" w:rsidRDefault="00990C62">
                        <w:pPr>
                          <w:jc w:val="right"/>
                          <w:rPr>
                            <w:sz w:val="24"/>
                            <w:szCs w:val="24"/>
                            <w:lang w:val="lt-LT"/>
                          </w:rPr>
                        </w:pPr>
                        <w:r w:rsidRPr="00CA28DC">
                          <w:rPr>
                            <w:sz w:val="24"/>
                            <w:szCs w:val="24"/>
                            <w:lang w:val="lt-LT"/>
                          </w:rPr>
                          <w:t>473588</w:t>
                        </w:r>
                      </w:p>
                    </w:tc>
                    <w:tc>
                      <w:tcPr>
                        <w:tcW w:w="1247" w:type="dxa"/>
                        <w:gridSpan w:val="2"/>
                        <w:tcBorders>
                          <w:top w:val="single" w:sz="4" w:space="0" w:color="auto"/>
                          <w:left w:val="nil"/>
                          <w:bottom w:val="single" w:sz="4" w:space="0" w:color="auto"/>
                          <w:right w:val="single" w:sz="4" w:space="0" w:color="auto"/>
                        </w:tcBorders>
                      </w:tcPr>
                      <w:p w14:paraId="22CA4637" w14:textId="77777777" w:rsidR="00990C62" w:rsidRPr="00CA28DC" w:rsidRDefault="00990C62">
                        <w:pPr>
                          <w:jc w:val="center"/>
                          <w:rPr>
                            <w:sz w:val="24"/>
                            <w:szCs w:val="24"/>
                            <w:lang w:val="lt-LT"/>
                          </w:rPr>
                        </w:pPr>
                      </w:p>
                      <w:p w14:paraId="44F460A8" w14:textId="77777777" w:rsidR="00990C62" w:rsidRPr="00CA28DC" w:rsidRDefault="00990C62">
                        <w:pPr>
                          <w:jc w:val="center"/>
                          <w:rPr>
                            <w:sz w:val="24"/>
                            <w:szCs w:val="24"/>
                            <w:lang w:val="lt-LT"/>
                          </w:rPr>
                        </w:pPr>
                        <w:r w:rsidRPr="00CA28DC">
                          <w:rPr>
                            <w:sz w:val="24"/>
                            <w:szCs w:val="24"/>
                            <w:lang w:val="lt-LT"/>
                          </w:rPr>
                          <w:t>71744</w:t>
                        </w:r>
                      </w:p>
                    </w:tc>
                    <w:tc>
                      <w:tcPr>
                        <w:tcW w:w="1439" w:type="dxa"/>
                        <w:tcBorders>
                          <w:top w:val="nil"/>
                          <w:left w:val="single" w:sz="4" w:space="0" w:color="auto"/>
                          <w:bottom w:val="single" w:sz="4" w:space="0" w:color="auto"/>
                          <w:right w:val="single" w:sz="4" w:space="0" w:color="auto"/>
                        </w:tcBorders>
                        <w:noWrap/>
                        <w:vAlign w:val="bottom"/>
                        <w:hideMark/>
                      </w:tcPr>
                      <w:p w14:paraId="6E2CDB1B" w14:textId="77777777" w:rsidR="00990C62" w:rsidRPr="00CA28DC" w:rsidRDefault="00990C62">
                        <w:pPr>
                          <w:jc w:val="center"/>
                          <w:rPr>
                            <w:sz w:val="24"/>
                            <w:szCs w:val="24"/>
                            <w:lang w:val="lt-LT"/>
                          </w:rPr>
                        </w:pPr>
                        <w:r w:rsidRPr="00CA28DC">
                          <w:rPr>
                            <w:sz w:val="24"/>
                            <w:szCs w:val="24"/>
                            <w:lang w:val="lt-LT"/>
                          </w:rPr>
                          <w:t>17778</w:t>
                        </w:r>
                      </w:p>
                    </w:tc>
                    <w:tc>
                      <w:tcPr>
                        <w:tcW w:w="1161" w:type="dxa"/>
                        <w:tcBorders>
                          <w:top w:val="nil"/>
                          <w:left w:val="nil"/>
                          <w:bottom w:val="single" w:sz="4" w:space="0" w:color="auto"/>
                          <w:right w:val="single" w:sz="4" w:space="0" w:color="auto"/>
                        </w:tcBorders>
                        <w:noWrap/>
                        <w:vAlign w:val="bottom"/>
                        <w:hideMark/>
                      </w:tcPr>
                      <w:p w14:paraId="49DE7EFD" w14:textId="77777777" w:rsidR="00990C62" w:rsidRPr="00CA28DC" w:rsidRDefault="00990C62">
                        <w:pPr>
                          <w:jc w:val="center"/>
                          <w:rPr>
                            <w:sz w:val="24"/>
                            <w:szCs w:val="24"/>
                            <w:lang w:val="lt-LT"/>
                          </w:rPr>
                        </w:pPr>
                        <w:r w:rsidRPr="00CA28DC">
                          <w:rPr>
                            <w:sz w:val="24"/>
                            <w:szCs w:val="24"/>
                            <w:lang w:val="lt-LT"/>
                          </w:rPr>
                          <w:t>29348</w:t>
                        </w:r>
                      </w:p>
                    </w:tc>
                    <w:tc>
                      <w:tcPr>
                        <w:tcW w:w="931" w:type="dxa"/>
                        <w:tcBorders>
                          <w:top w:val="nil"/>
                          <w:left w:val="nil"/>
                          <w:bottom w:val="single" w:sz="4" w:space="0" w:color="auto"/>
                          <w:right w:val="single" w:sz="4" w:space="0" w:color="auto"/>
                        </w:tcBorders>
                        <w:noWrap/>
                        <w:vAlign w:val="bottom"/>
                        <w:hideMark/>
                      </w:tcPr>
                      <w:p w14:paraId="77BA8434" w14:textId="51A82322" w:rsidR="00990C62" w:rsidRPr="00CA28DC" w:rsidRDefault="00F93627" w:rsidP="00F93627">
                        <w:pPr>
                          <w:rPr>
                            <w:sz w:val="24"/>
                            <w:szCs w:val="24"/>
                            <w:lang w:val="lt-LT"/>
                          </w:rPr>
                        </w:pPr>
                        <w:r w:rsidRPr="00CA28DC">
                          <w:rPr>
                            <w:sz w:val="24"/>
                            <w:szCs w:val="24"/>
                            <w:lang w:val="lt-LT"/>
                          </w:rPr>
                          <w:t>5924</w:t>
                        </w:r>
                        <w:r w:rsidR="00990C62" w:rsidRPr="00CA28DC">
                          <w:rPr>
                            <w:sz w:val="24"/>
                            <w:szCs w:val="24"/>
                            <w:lang w:val="lt-LT"/>
                          </w:rPr>
                          <w:t>8</w:t>
                        </w:r>
                      </w:p>
                    </w:tc>
                  </w:tr>
                  <w:tr w:rsidR="002C38D9" w:rsidRPr="00CA28DC" w14:paraId="0A55539E" w14:textId="77777777" w:rsidTr="00F93627">
                    <w:trPr>
                      <w:trHeight w:val="315"/>
                    </w:trPr>
                    <w:tc>
                      <w:tcPr>
                        <w:tcW w:w="554" w:type="dxa"/>
                        <w:tcBorders>
                          <w:top w:val="nil"/>
                          <w:left w:val="single" w:sz="4" w:space="0" w:color="auto"/>
                          <w:bottom w:val="single" w:sz="4" w:space="0" w:color="000000"/>
                          <w:right w:val="single" w:sz="4" w:space="0" w:color="auto"/>
                        </w:tcBorders>
                        <w:noWrap/>
                        <w:hideMark/>
                      </w:tcPr>
                      <w:p w14:paraId="34E2D8B7" w14:textId="77777777" w:rsidR="00990C62" w:rsidRPr="00CA28DC" w:rsidRDefault="00990C62">
                        <w:pPr>
                          <w:rPr>
                            <w:sz w:val="24"/>
                            <w:szCs w:val="24"/>
                            <w:lang w:val="lt-LT"/>
                          </w:rPr>
                        </w:pPr>
                        <w:r w:rsidRPr="00CA28DC">
                          <w:rPr>
                            <w:sz w:val="24"/>
                            <w:szCs w:val="24"/>
                            <w:lang w:val="lt-LT"/>
                          </w:rPr>
                          <w:t>2.</w:t>
                        </w:r>
                      </w:p>
                    </w:tc>
                    <w:tc>
                      <w:tcPr>
                        <w:tcW w:w="2878" w:type="dxa"/>
                        <w:tcBorders>
                          <w:top w:val="nil"/>
                          <w:left w:val="nil"/>
                          <w:bottom w:val="single" w:sz="4" w:space="0" w:color="000000"/>
                          <w:right w:val="nil"/>
                        </w:tcBorders>
                        <w:noWrap/>
                        <w:hideMark/>
                      </w:tcPr>
                      <w:p w14:paraId="7DA0BD58" w14:textId="77777777" w:rsidR="00990C62" w:rsidRPr="00CA28DC" w:rsidRDefault="00990C62">
                        <w:pPr>
                          <w:rPr>
                            <w:sz w:val="24"/>
                            <w:szCs w:val="24"/>
                            <w:lang w:val="lt-LT"/>
                          </w:rPr>
                        </w:pPr>
                        <w:r w:rsidRPr="00CA28DC">
                          <w:rPr>
                            <w:sz w:val="24"/>
                            <w:szCs w:val="24"/>
                            <w:lang w:val="lt-LT"/>
                          </w:rPr>
                          <w:t>Sąnaudos:</w:t>
                        </w:r>
                      </w:p>
                    </w:tc>
                    <w:tc>
                      <w:tcPr>
                        <w:tcW w:w="1233" w:type="dxa"/>
                        <w:tcBorders>
                          <w:top w:val="nil"/>
                          <w:left w:val="single" w:sz="4" w:space="0" w:color="auto"/>
                          <w:bottom w:val="single" w:sz="4" w:space="0" w:color="auto"/>
                          <w:right w:val="single" w:sz="4" w:space="0" w:color="auto"/>
                        </w:tcBorders>
                        <w:noWrap/>
                        <w:vAlign w:val="bottom"/>
                        <w:hideMark/>
                      </w:tcPr>
                      <w:p w14:paraId="1A8CC325" w14:textId="77777777" w:rsidR="00990C62" w:rsidRPr="00CA28DC" w:rsidRDefault="00990C62">
                        <w:pPr>
                          <w:jc w:val="right"/>
                          <w:rPr>
                            <w:sz w:val="24"/>
                            <w:szCs w:val="24"/>
                            <w:lang w:val="lt-LT"/>
                          </w:rPr>
                        </w:pPr>
                        <w:r w:rsidRPr="00CA28DC">
                          <w:rPr>
                            <w:sz w:val="24"/>
                            <w:szCs w:val="24"/>
                            <w:lang w:val="lt-LT"/>
                          </w:rPr>
                          <w:t>425677</w:t>
                        </w:r>
                      </w:p>
                    </w:tc>
                    <w:tc>
                      <w:tcPr>
                        <w:tcW w:w="1247" w:type="dxa"/>
                        <w:gridSpan w:val="2"/>
                        <w:tcBorders>
                          <w:top w:val="single" w:sz="4" w:space="0" w:color="auto"/>
                          <w:left w:val="nil"/>
                          <w:bottom w:val="single" w:sz="4" w:space="0" w:color="auto"/>
                          <w:right w:val="single" w:sz="4" w:space="0" w:color="auto"/>
                        </w:tcBorders>
                        <w:vAlign w:val="bottom"/>
                        <w:hideMark/>
                      </w:tcPr>
                      <w:p w14:paraId="252724C1" w14:textId="77777777" w:rsidR="00990C62" w:rsidRPr="00CA28DC" w:rsidRDefault="00990C62">
                        <w:pPr>
                          <w:jc w:val="center"/>
                          <w:rPr>
                            <w:sz w:val="24"/>
                            <w:szCs w:val="24"/>
                            <w:lang w:val="lt-LT"/>
                          </w:rPr>
                        </w:pPr>
                        <w:r w:rsidRPr="00CA28DC">
                          <w:rPr>
                            <w:sz w:val="24"/>
                            <w:szCs w:val="24"/>
                            <w:lang w:val="lt-LT"/>
                          </w:rPr>
                          <w:t>38287</w:t>
                        </w:r>
                      </w:p>
                    </w:tc>
                    <w:tc>
                      <w:tcPr>
                        <w:tcW w:w="1439" w:type="dxa"/>
                        <w:tcBorders>
                          <w:top w:val="nil"/>
                          <w:left w:val="single" w:sz="4" w:space="0" w:color="auto"/>
                          <w:bottom w:val="single" w:sz="4" w:space="0" w:color="auto"/>
                          <w:right w:val="single" w:sz="4" w:space="0" w:color="auto"/>
                        </w:tcBorders>
                        <w:noWrap/>
                        <w:vAlign w:val="bottom"/>
                        <w:hideMark/>
                      </w:tcPr>
                      <w:p w14:paraId="69B9D06F" w14:textId="77777777" w:rsidR="00990C62" w:rsidRPr="00CA28DC" w:rsidRDefault="00990C62">
                        <w:pPr>
                          <w:jc w:val="center"/>
                          <w:rPr>
                            <w:sz w:val="24"/>
                            <w:szCs w:val="24"/>
                            <w:lang w:val="lt-LT"/>
                          </w:rPr>
                        </w:pPr>
                        <w:r w:rsidRPr="00CA28DC">
                          <w:rPr>
                            <w:sz w:val="24"/>
                            <w:szCs w:val="24"/>
                            <w:lang w:val="lt-LT"/>
                          </w:rPr>
                          <w:t>38078</w:t>
                        </w:r>
                      </w:p>
                    </w:tc>
                    <w:tc>
                      <w:tcPr>
                        <w:tcW w:w="1161" w:type="dxa"/>
                        <w:tcBorders>
                          <w:top w:val="nil"/>
                          <w:left w:val="nil"/>
                          <w:bottom w:val="single" w:sz="4" w:space="0" w:color="auto"/>
                          <w:right w:val="single" w:sz="4" w:space="0" w:color="auto"/>
                        </w:tcBorders>
                        <w:noWrap/>
                        <w:vAlign w:val="bottom"/>
                        <w:hideMark/>
                      </w:tcPr>
                      <w:p w14:paraId="187E27BD" w14:textId="77777777" w:rsidR="00990C62" w:rsidRPr="00CA28DC" w:rsidRDefault="00990C62">
                        <w:pPr>
                          <w:jc w:val="center"/>
                          <w:rPr>
                            <w:sz w:val="24"/>
                            <w:szCs w:val="24"/>
                            <w:lang w:val="lt-LT"/>
                          </w:rPr>
                        </w:pPr>
                        <w:r w:rsidRPr="00CA28DC">
                          <w:rPr>
                            <w:sz w:val="24"/>
                            <w:szCs w:val="24"/>
                            <w:lang w:val="lt-LT"/>
                          </w:rPr>
                          <w:t>35126</w:t>
                        </w:r>
                      </w:p>
                    </w:tc>
                    <w:tc>
                      <w:tcPr>
                        <w:tcW w:w="931" w:type="dxa"/>
                        <w:tcBorders>
                          <w:top w:val="nil"/>
                          <w:left w:val="nil"/>
                          <w:bottom w:val="single" w:sz="4" w:space="0" w:color="auto"/>
                          <w:right w:val="single" w:sz="4" w:space="0" w:color="auto"/>
                        </w:tcBorders>
                        <w:noWrap/>
                        <w:vAlign w:val="bottom"/>
                        <w:hideMark/>
                      </w:tcPr>
                      <w:p w14:paraId="3AC74957" w14:textId="7628F0ED" w:rsidR="00990C62" w:rsidRPr="00CA28DC" w:rsidRDefault="00F93627" w:rsidP="00F93627">
                        <w:pPr>
                          <w:rPr>
                            <w:sz w:val="24"/>
                            <w:szCs w:val="24"/>
                            <w:lang w:val="lt-LT"/>
                          </w:rPr>
                        </w:pPr>
                        <w:r w:rsidRPr="00CA28DC">
                          <w:rPr>
                            <w:sz w:val="24"/>
                            <w:szCs w:val="24"/>
                            <w:lang w:val="lt-LT"/>
                          </w:rPr>
                          <w:t>5371</w:t>
                        </w:r>
                        <w:r w:rsidR="00990C62" w:rsidRPr="00CA28DC">
                          <w:rPr>
                            <w:sz w:val="24"/>
                            <w:szCs w:val="24"/>
                            <w:lang w:val="lt-LT"/>
                          </w:rPr>
                          <w:t>8</w:t>
                        </w:r>
                      </w:p>
                    </w:tc>
                  </w:tr>
                  <w:tr w:rsidR="002C38D9" w:rsidRPr="00CA28DC" w14:paraId="21D26212" w14:textId="77777777" w:rsidTr="00F93627">
                    <w:trPr>
                      <w:trHeight w:val="302"/>
                    </w:trPr>
                    <w:tc>
                      <w:tcPr>
                        <w:tcW w:w="554" w:type="dxa"/>
                        <w:tcBorders>
                          <w:top w:val="nil"/>
                          <w:left w:val="single" w:sz="4" w:space="0" w:color="auto"/>
                          <w:bottom w:val="single" w:sz="4" w:space="0" w:color="000000"/>
                          <w:right w:val="single" w:sz="4" w:space="0" w:color="auto"/>
                        </w:tcBorders>
                        <w:noWrap/>
                        <w:hideMark/>
                      </w:tcPr>
                      <w:p w14:paraId="0675930B" w14:textId="77777777" w:rsidR="00990C62" w:rsidRPr="00CA28DC" w:rsidRDefault="00990C62">
                        <w:pPr>
                          <w:rPr>
                            <w:sz w:val="24"/>
                            <w:szCs w:val="24"/>
                            <w:lang w:val="lt-LT"/>
                          </w:rPr>
                        </w:pPr>
                        <w:r w:rsidRPr="00CA28DC">
                          <w:rPr>
                            <w:sz w:val="24"/>
                            <w:szCs w:val="24"/>
                            <w:lang w:val="lt-LT"/>
                          </w:rPr>
                          <w:t> </w:t>
                        </w:r>
                      </w:p>
                    </w:tc>
                    <w:tc>
                      <w:tcPr>
                        <w:tcW w:w="2878" w:type="dxa"/>
                        <w:tcBorders>
                          <w:top w:val="nil"/>
                          <w:left w:val="nil"/>
                          <w:bottom w:val="single" w:sz="4" w:space="0" w:color="000000"/>
                          <w:right w:val="nil"/>
                        </w:tcBorders>
                        <w:noWrap/>
                        <w:hideMark/>
                      </w:tcPr>
                      <w:p w14:paraId="6796BAC6" w14:textId="77777777" w:rsidR="00990C62" w:rsidRPr="00CA28DC" w:rsidRDefault="00990C62">
                        <w:pPr>
                          <w:rPr>
                            <w:sz w:val="24"/>
                            <w:szCs w:val="24"/>
                            <w:lang w:val="lt-LT"/>
                          </w:rPr>
                        </w:pPr>
                        <w:r w:rsidRPr="00CA28DC">
                          <w:rPr>
                            <w:sz w:val="24"/>
                            <w:szCs w:val="24"/>
                            <w:lang w:val="lt-LT"/>
                          </w:rPr>
                          <w:t>su darbo santykiais susijusios sąnaudos (subsidijos)</w:t>
                        </w:r>
                      </w:p>
                    </w:tc>
                    <w:tc>
                      <w:tcPr>
                        <w:tcW w:w="1233" w:type="dxa"/>
                        <w:tcBorders>
                          <w:top w:val="nil"/>
                          <w:left w:val="single" w:sz="4" w:space="0" w:color="auto"/>
                          <w:bottom w:val="single" w:sz="4" w:space="0" w:color="auto"/>
                          <w:right w:val="single" w:sz="4" w:space="0" w:color="auto"/>
                        </w:tcBorders>
                        <w:noWrap/>
                        <w:vAlign w:val="bottom"/>
                        <w:hideMark/>
                      </w:tcPr>
                      <w:p w14:paraId="1C883D76" w14:textId="77777777" w:rsidR="00990C62" w:rsidRPr="00CA28DC" w:rsidRDefault="00990C62">
                        <w:pPr>
                          <w:jc w:val="right"/>
                          <w:rPr>
                            <w:sz w:val="24"/>
                            <w:szCs w:val="24"/>
                            <w:lang w:val="lt-LT"/>
                          </w:rPr>
                        </w:pPr>
                        <w:r w:rsidRPr="00CA28DC">
                          <w:rPr>
                            <w:sz w:val="24"/>
                            <w:szCs w:val="24"/>
                            <w:lang w:val="lt-LT"/>
                          </w:rPr>
                          <w:t>201298</w:t>
                        </w:r>
                      </w:p>
                    </w:tc>
                    <w:tc>
                      <w:tcPr>
                        <w:tcW w:w="1247" w:type="dxa"/>
                        <w:gridSpan w:val="2"/>
                        <w:tcBorders>
                          <w:top w:val="single" w:sz="4" w:space="0" w:color="auto"/>
                          <w:left w:val="nil"/>
                          <w:bottom w:val="single" w:sz="4" w:space="0" w:color="auto"/>
                          <w:right w:val="single" w:sz="4" w:space="0" w:color="auto"/>
                        </w:tcBorders>
                        <w:vAlign w:val="bottom"/>
                      </w:tcPr>
                      <w:p w14:paraId="31AA9130" w14:textId="77777777" w:rsidR="00990C62" w:rsidRPr="00CA28DC" w:rsidRDefault="00990C62">
                        <w:pPr>
                          <w:jc w:val="center"/>
                          <w:rPr>
                            <w:sz w:val="24"/>
                            <w:szCs w:val="24"/>
                            <w:lang w:val="lt-LT"/>
                          </w:rPr>
                        </w:pPr>
                      </w:p>
                      <w:p w14:paraId="7790B68D" w14:textId="77777777" w:rsidR="00990C62" w:rsidRPr="00CA28DC" w:rsidRDefault="00990C62">
                        <w:pPr>
                          <w:jc w:val="center"/>
                          <w:rPr>
                            <w:sz w:val="24"/>
                            <w:szCs w:val="24"/>
                            <w:lang w:val="lt-LT"/>
                          </w:rPr>
                        </w:pPr>
                        <w:r w:rsidRPr="00CA28DC">
                          <w:rPr>
                            <w:sz w:val="24"/>
                            <w:szCs w:val="24"/>
                            <w:lang w:val="lt-LT"/>
                          </w:rPr>
                          <w:t>23294</w:t>
                        </w:r>
                      </w:p>
                    </w:tc>
                    <w:tc>
                      <w:tcPr>
                        <w:tcW w:w="1439" w:type="dxa"/>
                        <w:tcBorders>
                          <w:top w:val="nil"/>
                          <w:left w:val="single" w:sz="4" w:space="0" w:color="auto"/>
                          <w:bottom w:val="single" w:sz="4" w:space="0" w:color="auto"/>
                          <w:right w:val="single" w:sz="4" w:space="0" w:color="auto"/>
                        </w:tcBorders>
                        <w:noWrap/>
                        <w:vAlign w:val="bottom"/>
                        <w:hideMark/>
                      </w:tcPr>
                      <w:p w14:paraId="05B83071" w14:textId="77777777" w:rsidR="00990C62" w:rsidRPr="00CA28DC" w:rsidRDefault="00990C62">
                        <w:pPr>
                          <w:jc w:val="center"/>
                          <w:rPr>
                            <w:sz w:val="24"/>
                            <w:szCs w:val="24"/>
                            <w:lang w:val="lt-LT"/>
                          </w:rPr>
                        </w:pPr>
                        <w:r w:rsidRPr="00CA28DC">
                          <w:rPr>
                            <w:sz w:val="24"/>
                            <w:szCs w:val="24"/>
                            <w:lang w:val="lt-LT"/>
                          </w:rPr>
                          <w:t>32178</w:t>
                        </w:r>
                      </w:p>
                    </w:tc>
                    <w:tc>
                      <w:tcPr>
                        <w:tcW w:w="1161" w:type="dxa"/>
                        <w:tcBorders>
                          <w:top w:val="nil"/>
                          <w:left w:val="nil"/>
                          <w:bottom w:val="single" w:sz="4" w:space="0" w:color="auto"/>
                          <w:right w:val="single" w:sz="4" w:space="0" w:color="auto"/>
                        </w:tcBorders>
                        <w:noWrap/>
                        <w:vAlign w:val="bottom"/>
                        <w:hideMark/>
                      </w:tcPr>
                      <w:p w14:paraId="06272437" w14:textId="77777777" w:rsidR="00990C62" w:rsidRPr="00CA28DC" w:rsidRDefault="00990C62">
                        <w:pPr>
                          <w:jc w:val="center"/>
                          <w:rPr>
                            <w:sz w:val="24"/>
                            <w:szCs w:val="24"/>
                            <w:lang w:val="lt-LT"/>
                          </w:rPr>
                        </w:pPr>
                        <w:r w:rsidRPr="00CA28DC">
                          <w:rPr>
                            <w:sz w:val="24"/>
                            <w:szCs w:val="24"/>
                            <w:lang w:val="lt-LT"/>
                          </w:rPr>
                          <w:t>21042 (8100)</w:t>
                        </w:r>
                      </w:p>
                    </w:tc>
                    <w:tc>
                      <w:tcPr>
                        <w:tcW w:w="931" w:type="dxa"/>
                        <w:tcBorders>
                          <w:top w:val="nil"/>
                          <w:left w:val="nil"/>
                          <w:bottom w:val="single" w:sz="4" w:space="0" w:color="auto"/>
                          <w:right w:val="single" w:sz="4" w:space="0" w:color="auto"/>
                        </w:tcBorders>
                        <w:noWrap/>
                        <w:vAlign w:val="bottom"/>
                        <w:hideMark/>
                      </w:tcPr>
                      <w:p w14:paraId="26A4F832" w14:textId="3ECFDDDB" w:rsidR="00990C62" w:rsidRPr="00CA28DC" w:rsidRDefault="00F93627" w:rsidP="00F93627">
                        <w:pPr>
                          <w:rPr>
                            <w:sz w:val="24"/>
                            <w:szCs w:val="24"/>
                            <w:lang w:val="lt-LT"/>
                          </w:rPr>
                        </w:pPr>
                        <w:r w:rsidRPr="00CA28DC">
                          <w:rPr>
                            <w:sz w:val="24"/>
                            <w:szCs w:val="24"/>
                            <w:lang w:val="lt-LT"/>
                          </w:rPr>
                          <w:t>2778</w:t>
                        </w:r>
                        <w:r w:rsidR="00990C62" w:rsidRPr="00CA28DC">
                          <w:rPr>
                            <w:sz w:val="24"/>
                            <w:szCs w:val="24"/>
                            <w:lang w:val="lt-LT"/>
                          </w:rPr>
                          <w:t>2</w:t>
                        </w:r>
                      </w:p>
                    </w:tc>
                  </w:tr>
                  <w:tr w:rsidR="002C38D9" w:rsidRPr="00CA28DC" w14:paraId="1DC0F688" w14:textId="77777777" w:rsidTr="00F93627">
                    <w:trPr>
                      <w:trHeight w:val="302"/>
                    </w:trPr>
                    <w:tc>
                      <w:tcPr>
                        <w:tcW w:w="554" w:type="dxa"/>
                        <w:tcBorders>
                          <w:top w:val="nil"/>
                          <w:left w:val="single" w:sz="4" w:space="0" w:color="auto"/>
                          <w:bottom w:val="single" w:sz="4" w:space="0" w:color="000000"/>
                          <w:right w:val="single" w:sz="4" w:space="0" w:color="auto"/>
                        </w:tcBorders>
                        <w:noWrap/>
                        <w:hideMark/>
                      </w:tcPr>
                      <w:p w14:paraId="1F090018" w14:textId="77777777" w:rsidR="00990C62" w:rsidRPr="00CA28DC" w:rsidRDefault="00990C62">
                        <w:pPr>
                          <w:rPr>
                            <w:sz w:val="24"/>
                            <w:szCs w:val="24"/>
                            <w:lang w:val="lt-LT"/>
                          </w:rPr>
                        </w:pPr>
                        <w:r w:rsidRPr="00CA28DC">
                          <w:rPr>
                            <w:sz w:val="24"/>
                            <w:szCs w:val="24"/>
                            <w:lang w:val="lt-LT"/>
                          </w:rPr>
                          <w:t> </w:t>
                        </w:r>
                      </w:p>
                    </w:tc>
                    <w:tc>
                      <w:tcPr>
                        <w:tcW w:w="2878" w:type="dxa"/>
                        <w:tcBorders>
                          <w:top w:val="nil"/>
                          <w:left w:val="nil"/>
                          <w:bottom w:val="single" w:sz="4" w:space="0" w:color="000000"/>
                          <w:right w:val="nil"/>
                        </w:tcBorders>
                        <w:noWrap/>
                        <w:hideMark/>
                      </w:tcPr>
                      <w:p w14:paraId="37554AFF" w14:textId="77777777" w:rsidR="00990C62" w:rsidRPr="00CA28DC" w:rsidRDefault="00990C62">
                        <w:pPr>
                          <w:rPr>
                            <w:sz w:val="24"/>
                            <w:szCs w:val="24"/>
                            <w:lang w:val="lt-LT"/>
                          </w:rPr>
                        </w:pPr>
                        <w:r w:rsidRPr="00CA28DC">
                          <w:rPr>
                            <w:sz w:val="24"/>
                            <w:szCs w:val="24"/>
                            <w:lang w:val="lt-LT"/>
                          </w:rPr>
                          <w:t>ilgalaikio turto nusidėvėjimas</w:t>
                        </w:r>
                      </w:p>
                    </w:tc>
                    <w:tc>
                      <w:tcPr>
                        <w:tcW w:w="1233" w:type="dxa"/>
                        <w:tcBorders>
                          <w:top w:val="nil"/>
                          <w:left w:val="single" w:sz="4" w:space="0" w:color="auto"/>
                          <w:bottom w:val="single" w:sz="4" w:space="0" w:color="auto"/>
                          <w:right w:val="single" w:sz="4" w:space="0" w:color="auto"/>
                        </w:tcBorders>
                        <w:noWrap/>
                        <w:vAlign w:val="bottom"/>
                        <w:hideMark/>
                      </w:tcPr>
                      <w:p w14:paraId="5E2AEDE7" w14:textId="77777777" w:rsidR="00990C62" w:rsidRPr="00CA28DC" w:rsidRDefault="00990C62">
                        <w:pPr>
                          <w:jc w:val="right"/>
                          <w:rPr>
                            <w:sz w:val="24"/>
                            <w:szCs w:val="24"/>
                            <w:lang w:val="lt-LT"/>
                          </w:rPr>
                        </w:pPr>
                        <w:r w:rsidRPr="00CA28DC">
                          <w:rPr>
                            <w:sz w:val="24"/>
                            <w:szCs w:val="24"/>
                            <w:lang w:val="lt-LT"/>
                          </w:rPr>
                          <w:t>1802</w:t>
                        </w:r>
                      </w:p>
                    </w:tc>
                    <w:tc>
                      <w:tcPr>
                        <w:tcW w:w="1247" w:type="dxa"/>
                        <w:gridSpan w:val="2"/>
                        <w:tcBorders>
                          <w:top w:val="single" w:sz="4" w:space="0" w:color="auto"/>
                          <w:left w:val="nil"/>
                          <w:bottom w:val="single" w:sz="4" w:space="0" w:color="auto"/>
                          <w:right w:val="single" w:sz="4" w:space="0" w:color="auto"/>
                        </w:tcBorders>
                        <w:vAlign w:val="bottom"/>
                        <w:hideMark/>
                      </w:tcPr>
                      <w:p w14:paraId="2FF5ABE2" w14:textId="77777777" w:rsidR="00990C62" w:rsidRPr="00CA28DC" w:rsidRDefault="00990C62">
                        <w:pPr>
                          <w:jc w:val="center"/>
                          <w:rPr>
                            <w:sz w:val="24"/>
                            <w:szCs w:val="24"/>
                            <w:lang w:val="lt-LT"/>
                          </w:rPr>
                        </w:pPr>
                        <w:r w:rsidRPr="00CA28DC">
                          <w:rPr>
                            <w:sz w:val="24"/>
                            <w:szCs w:val="24"/>
                            <w:lang w:val="lt-LT"/>
                          </w:rPr>
                          <w:t>301</w:t>
                        </w:r>
                      </w:p>
                    </w:tc>
                    <w:tc>
                      <w:tcPr>
                        <w:tcW w:w="1439" w:type="dxa"/>
                        <w:tcBorders>
                          <w:top w:val="nil"/>
                          <w:left w:val="single" w:sz="4" w:space="0" w:color="auto"/>
                          <w:bottom w:val="single" w:sz="4" w:space="0" w:color="auto"/>
                          <w:right w:val="single" w:sz="4" w:space="0" w:color="auto"/>
                        </w:tcBorders>
                        <w:noWrap/>
                        <w:vAlign w:val="bottom"/>
                        <w:hideMark/>
                      </w:tcPr>
                      <w:p w14:paraId="7ECFC554" w14:textId="77777777" w:rsidR="00990C62" w:rsidRPr="00CA28DC" w:rsidRDefault="00990C62">
                        <w:pPr>
                          <w:jc w:val="center"/>
                          <w:rPr>
                            <w:sz w:val="24"/>
                            <w:szCs w:val="24"/>
                            <w:lang w:val="lt-LT"/>
                          </w:rPr>
                        </w:pPr>
                        <w:r w:rsidRPr="00CA28DC">
                          <w:rPr>
                            <w:sz w:val="24"/>
                            <w:szCs w:val="24"/>
                            <w:lang w:val="lt-LT"/>
                          </w:rPr>
                          <w:t>79</w:t>
                        </w:r>
                      </w:p>
                    </w:tc>
                    <w:tc>
                      <w:tcPr>
                        <w:tcW w:w="1161" w:type="dxa"/>
                        <w:tcBorders>
                          <w:top w:val="nil"/>
                          <w:left w:val="nil"/>
                          <w:bottom w:val="single" w:sz="4" w:space="0" w:color="auto"/>
                          <w:right w:val="single" w:sz="4" w:space="0" w:color="auto"/>
                        </w:tcBorders>
                        <w:noWrap/>
                        <w:vAlign w:val="bottom"/>
                        <w:hideMark/>
                      </w:tcPr>
                      <w:p w14:paraId="03D22B9E" w14:textId="77777777" w:rsidR="00990C62" w:rsidRPr="00CA28DC" w:rsidRDefault="00990C62">
                        <w:pPr>
                          <w:jc w:val="center"/>
                          <w:rPr>
                            <w:sz w:val="24"/>
                            <w:szCs w:val="24"/>
                            <w:lang w:val="lt-LT"/>
                          </w:rPr>
                        </w:pPr>
                        <w:r w:rsidRPr="00CA28DC">
                          <w:rPr>
                            <w:sz w:val="24"/>
                            <w:szCs w:val="24"/>
                            <w:lang w:val="lt-LT"/>
                          </w:rPr>
                          <w:t>-</w:t>
                        </w:r>
                      </w:p>
                    </w:tc>
                    <w:tc>
                      <w:tcPr>
                        <w:tcW w:w="931" w:type="dxa"/>
                        <w:tcBorders>
                          <w:top w:val="nil"/>
                          <w:left w:val="nil"/>
                          <w:bottom w:val="single" w:sz="4" w:space="0" w:color="auto"/>
                          <w:right w:val="single" w:sz="4" w:space="0" w:color="auto"/>
                        </w:tcBorders>
                        <w:noWrap/>
                        <w:vAlign w:val="bottom"/>
                        <w:hideMark/>
                      </w:tcPr>
                      <w:p w14:paraId="30E008DE" w14:textId="77777777" w:rsidR="00990C62" w:rsidRPr="00CA28DC" w:rsidRDefault="00990C62" w:rsidP="00F93627">
                        <w:pPr>
                          <w:rPr>
                            <w:sz w:val="24"/>
                            <w:szCs w:val="24"/>
                            <w:lang w:val="lt-LT"/>
                          </w:rPr>
                        </w:pPr>
                        <w:r w:rsidRPr="00CA28DC">
                          <w:rPr>
                            <w:sz w:val="24"/>
                            <w:szCs w:val="24"/>
                            <w:lang w:val="lt-LT"/>
                          </w:rPr>
                          <w:t>2182</w:t>
                        </w:r>
                      </w:p>
                    </w:tc>
                  </w:tr>
                  <w:tr w:rsidR="002C38D9" w:rsidRPr="00CA28DC" w14:paraId="21131E2D" w14:textId="77777777" w:rsidTr="00F93627">
                    <w:trPr>
                      <w:trHeight w:val="302"/>
                    </w:trPr>
                    <w:tc>
                      <w:tcPr>
                        <w:tcW w:w="554" w:type="dxa"/>
                        <w:tcBorders>
                          <w:top w:val="nil"/>
                          <w:left w:val="single" w:sz="4" w:space="0" w:color="auto"/>
                          <w:bottom w:val="single" w:sz="4" w:space="0" w:color="000000"/>
                          <w:right w:val="single" w:sz="4" w:space="0" w:color="auto"/>
                        </w:tcBorders>
                        <w:noWrap/>
                        <w:hideMark/>
                      </w:tcPr>
                      <w:p w14:paraId="0EBE76A2" w14:textId="77777777" w:rsidR="00990C62" w:rsidRPr="00CA28DC" w:rsidRDefault="00990C62">
                        <w:pPr>
                          <w:rPr>
                            <w:sz w:val="24"/>
                            <w:szCs w:val="24"/>
                            <w:lang w:val="lt-LT"/>
                          </w:rPr>
                        </w:pPr>
                        <w:r w:rsidRPr="00CA28DC">
                          <w:rPr>
                            <w:sz w:val="24"/>
                            <w:szCs w:val="24"/>
                            <w:lang w:val="lt-LT"/>
                          </w:rPr>
                          <w:t> </w:t>
                        </w:r>
                      </w:p>
                    </w:tc>
                    <w:tc>
                      <w:tcPr>
                        <w:tcW w:w="2878" w:type="dxa"/>
                        <w:tcBorders>
                          <w:top w:val="nil"/>
                          <w:left w:val="nil"/>
                          <w:bottom w:val="single" w:sz="4" w:space="0" w:color="000000"/>
                          <w:right w:val="nil"/>
                        </w:tcBorders>
                        <w:noWrap/>
                        <w:hideMark/>
                      </w:tcPr>
                      <w:p w14:paraId="3BD9D34F" w14:textId="77777777" w:rsidR="00990C62" w:rsidRPr="00CA28DC" w:rsidRDefault="00990C62">
                        <w:pPr>
                          <w:rPr>
                            <w:sz w:val="24"/>
                            <w:szCs w:val="24"/>
                            <w:lang w:val="lt-LT"/>
                          </w:rPr>
                        </w:pPr>
                        <w:r w:rsidRPr="00CA28DC">
                          <w:rPr>
                            <w:sz w:val="24"/>
                            <w:szCs w:val="24"/>
                            <w:lang w:val="lt-LT"/>
                          </w:rPr>
                          <w:t>medžiagos ir atsarginės dalys</w:t>
                        </w:r>
                      </w:p>
                    </w:tc>
                    <w:tc>
                      <w:tcPr>
                        <w:tcW w:w="1233" w:type="dxa"/>
                        <w:tcBorders>
                          <w:top w:val="nil"/>
                          <w:left w:val="single" w:sz="4" w:space="0" w:color="auto"/>
                          <w:bottom w:val="single" w:sz="4" w:space="0" w:color="auto"/>
                          <w:right w:val="single" w:sz="4" w:space="0" w:color="auto"/>
                        </w:tcBorders>
                        <w:noWrap/>
                        <w:vAlign w:val="bottom"/>
                        <w:hideMark/>
                      </w:tcPr>
                      <w:p w14:paraId="2E8C48DB" w14:textId="77777777" w:rsidR="00990C62" w:rsidRPr="00CA28DC" w:rsidRDefault="00990C62">
                        <w:pPr>
                          <w:jc w:val="right"/>
                          <w:rPr>
                            <w:sz w:val="24"/>
                            <w:szCs w:val="24"/>
                            <w:lang w:val="lt-LT"/>
                          </w:rPr>
                        </w:pPr>
                        <w:r w:rsidRPr="00CA28DC">
                          <w:rPr>
                            <w:sz w:val="24"/>
                            <w:szCs w:val="24"/>
                            <w:lang w:val="lt-LT"/>
                          </w:rPr>
                          <w:t>29228</w:t>
                        </w:r>
                      </w:p>
                    </w:tc>
                    <w:tc>
                      <w:tcPr>
                        <w:tcW w:w="1247" w:type="dxa"/>
                        <w:gridSpan w:val="2"/>
                        <w:tcBorders>
                          <w:top w:val="single" w:sz="4" w:space="0" w:color="auto"/>
                          <w:left w:val="nil"/>
                          <w:bottom w:val="single" w:sz="4" w:space="0" w:color="auto"/>
                          <w:right w:val="single" w:sz="4" w:space="0" w:color="auto"/>
                        </w:tcBorders>
                        <w:vAlign w:val="bottom"/>
                        <w:hideMark/>
                      </w:tcPr>
                      <w:p w14:paraId="56D3B427" w14:textId="77777777" w:rsidR="00990C62" w:rsidRPr="00CA28DC" w:rsidRDefault="00990C62">
                        <w:pPr>
                          <w:jc w:val="center"/>
                          <w:rPr>
                            <w:sz w:val="24"/>
                            <w:szCs w:val="24"/>
                            <w:lang w:val="lt-LT"/>
                          </w:rPr>
                        </w:pPr>
                        <w:r w:rsidRPr="00CA28DC">
                          <w:rPr>
                            <w:sz w:val="24"/>
                            <w:szCs w:val="24"/>
                            <w:lang w:val="lt-LT"/>
                          </w:rPr>
                          <w:t>-</w:t>
                        </w:r>
                      </w:p>
                    </w:tc>
                    <w:tc>
                      <w:tcPr>
                        <w:tcW w:w="1439" w:type="dxa"/>
                        <w:tcBorders>
                          <w:top w:val="nil"/>
                          <w:left w:val="single" w:sz="4" w:space="0" w:color="auto"/>
                          <w:bottom w:val="single" w:sz="4" w:space="0" w:color="auto"/>
                          <w:right w:val="single" w:sz="4" w:space="0" w:color="auto"/>
                        </w:tcBorders>
                        <w:noWrap/>
                        <w:vAlign w:val="bottom"/>
                        <w:hideMark/>
                      </w:tcPr>
                      <w:p w14:paraId="12B317A9" w14:textId="77777777" w:rsidR="00990C62" w:rsidRPr="00CA28DC" w:rsidRDefault="00990C62">
                        <w:pPr>
                          <w:jc w:val="center"/>
                          <w:rPr>
                            <w:sz w:val="24"/>
                            <w:szCs w:val="24"/>
                            <w:lang w:val="lt-LT"/>
                          </w:rPr>
                        </w:pPr>
                        <w:r w:rsidRPr="00CA28DC">
                          <w:rPr>
                            <w:sz w:val="24"/>
                            <w:szCs w:val="24"/>
                            <w:lang w:val="lt-LT"/>
                          </w:rPr>
                          <w:t>-</w:t>
                        </w:r>
                      </w:p>
                    </w:tc>
                    <w:tc>
                      <w:tcPr>
                        <w:tcW w:w="1161" w:type="dxa"/>
                        <w:tcBorders>
                          <w:top w:val="nil"/>
                          <w:left w:val="nil"/>
                          <w:bottom w:val="single" w:sz="4" w:space="0" w:color="auto"/>
                          <w:right w:val="single" w:sz="4" w:space="0" w:color="auto"/>
                        </w:tcBorders>
                        <w:noWrap/>
                        <w:vAlign w:val="bottom"/>
                        <w:hideMark/>
                      </w:tcPr>
                      <w:p w14:paraId="7B9F598D" w14:textId="77777777" w:rsidR="00990C62" w:rsidRPr="00CA28DC" w:rsidRDefault="00990C62">
                        <w:pPr>
                          <w:jc w:val="center"/>
                          <w:rPr>
                            <w:sz w:val="24"/>
                            <w:szCs w:val="24"/>
                            <w:lang w:val="lt-LT"/>
                          </w:rPr>
                        </w:pPr>
                        <w:r w:rsidRPr="00CA28DC">
                          <w:rPr>
                            <w:sz w:val="24"/>
                            <w:szCs w:val="24"/>
                            <w:lang w:val="lt-LT"/>
                          </w:rPr>
                          <w:t>557</w:t>
                        </w:r>
                      </w:p>
                    </w:tc>
                    <w:tc>
                      <w:tcPr>
                        <w:tcW w:w="931" w:type="dxa"/>
                        <w:tcBorders>
                          <w:top w:val="nil"/>
                          <w:left w:val="nil"/>
                          <w:bottom w:val="single" w:sz="4" w:space="0" w:color="auto"/>
                          <w:right w:val="single" w:sz="4" w:space="0" w:color="auto"/>
                        </w:tcBorders>
                        <w:noWrap/>
                        <w:vAlign w:val="bottom"/>
                        <w:hideMark/>
                      </w:tcPr>
                      <w:p w14:paraId="2B3B680A" w14:textId="77777777" w:rsidR="00990C62" w:rsidRPr="00CA28DC" w:rsidRDefault="00990C62" w:rsidP="00F93627">
                        <w:pPr>
                          <w:jc w:val="center"/>
                          <w:rPr>
                            <w:sz w:val="24"/>
                            <w:szCs w:val="24"/>
                            <w:lang w:val="lt-LT"/>
                          </w:rPr>
                        </w:pPr>
                        <w:r w:rsidRPr="00CA28DC">
                          <w:rPr>
                            <w:sz w:val="24"/>
                            <w:szCs w:val="24"/>
                            <w:lang w:val="lt-LT"/>
                          </w:rPr>
                          <w:t>29785</w:t>
                        </w:r>
                      </w:p>
                    </w:tc>
                  </w:tr>
                  <w:tr w:rsidR="002C38D9" w:rsidRPr="00CA28DC" w14:paraId="3019F716" w14:textId="77777777" w:rsidTr="00F93627">
                    <w:trPr>
                      <w:trHeight w:val="302"/>
                    </w:trPr>
                    <w:tc>
                      <w:tcPr>
                        <w:tcW w:w="554" w:type="dxa"/>
                        <w:tcBorders>
                          <w:top w:val="nil"/>
                          <w:left w:val="single" w:sz="4" w:space="0" w:color="auto"/>
                          <w:bottom w:val="single" w:sz="4" w:space="0" w:color="000000"/>
                          <w:right w:val="single" w:sz="4" w:space="0" w:color="auto"/>
                        </w:tcBorders>
                        <w:noWrap/>
                      </w:tcPr>
                      <w:p w14:paraId="75797651" w14:textId="77777777" w:rsidR="00990C62" w:rsidRPr="00CA28DC" w:rsidRDefault="00990C62">
                        <w:pPr>
                          <w:rPr>
                            <w:sz w:val="24"/>
                            <w:szCs w:val="24"/>
                            <w:lang w:val="lt-LT"/>
                          </w:rPr>
                        </w:pPr>
                      </w:p>
                    </w:tc>
                    <w:tc>
                      <w:tcPr>
                        <w:tcW w:w="2878" w:type="dxa"/>
                        <w:tcBorders>
                          <w:top w:val="nil"/>
                          <w:left w:val="nil"/>
                          <w:bottom w:val="single" w:sz="4" w:space="0" w:color="000000"/>
                          <w:right w:val="nil"/>
                        </w:tcBorders>
                        <w:noWrap/>
                        <w:hideMark/>
                      </w:tcPr>
                      <w:p w14:paraId="4FBCF6B0" w14:textId="77777777" w:rsidR="00990C62" w:rsidRPr="00CA28DC" w:rsidRDefault="00990C62">
                        <w:pPr>
                          <w:rPr>
                            <w:sz w:val="24"/>
                            <w:szCs w:val="24"/>
                            <w:lang w:val="lt-LT"/>
                          </w:rPr>
                        </w:pPr>
                        <w:r w:rsidRPr="00CA28DC">
                          <w:rPr>
                            <w:sz w:val="24"/>
                            <w:szCs w:val="24"/>
                            <w:lang w:val="lt-LT"/>
                          </w:rPr>
                          <w:t>Kitos sąnaudos</w:t>
                        </w:r>
                      </w:p>
                    </w:tc>
                    <w:tc>
                      <w:tcPr>
                        <w:tcW w:w="1233" w:type="dxa"/>
                        <w:tcBorders>
                          <w:top w:val="nil"/>
                          <w:left w:val="single" w:sz="4" w:space="0" w:color="auto"/>
                          <w:bottom w:val="single" w:sz="4" w:space="0" w:color="auto"/>
                          <w:right w:val="single" w:sz="4" w:space="0" w:color="auto"/>
                        </w:tcBorders>
                        <w:noWrap/>
                        <w:vAlign w:val="bottom"/>
                        <w:hideMark/>
                      </w:tcPr>
                      <w:p w14:paraId="1F50A21E" w14:textId="77777777" w:rsidR="00990C62" w:rsidRPr="00CA28DC" w:rsidRDefault="00990C62">
                        <w:pPr>
                          <w:jc w:val="right"/>
                          <w:rPr>
                            <w:sz w:val="24"/>
                            <w:szCs w:val="24"/>
                            <w:lang w:val="lt-LT"/>
                          </w:rPr>
                        </w:pPr>
                        <w:r w:rsidRPr="00CA28DC">
                          <w:rPr>
                            <w:sz w:val="24"/>
                            <w:szCs w:val="24"/>
                            <w:lang w:val="lt-LT"/>
                          </w:rPr>
                          <w:t>101282</w:t>
                        </w:r>
                      </w:p>
                    </w:tc>
                    <w:tc>
                      <w:tcPr>
                        <w:tcW w:w="1247" w:type="dxa"/>
                        <w:gridSpan w:val="2"/>
                        <w:tcBorders>
                          <w:top w:val="single" w:sz="4" w:space="0" w:color="auto"/>
                          <w:left w:val="nil"/>
                          <w:bottom w:val="single" w:sz="4" w:space="0" w:color="auto"/>
                          <w:right w:val="single" w:sz="4" w:space="0" w:color="auto"/>
                        </w:tcBorders>
                        <w:vAlign w:val="bottom"/>
                        <w:hideMark/>
                      </w:tcPr>
                      <w:p w14:paraId="73682D1D" w14:textId="77777777" w:rsidR="00990C62" w:rsidRPr="00CA28DC" w:rsidRDefault="00990C62">
                        <w:pPr>
                          <w:jc w:val="center"/>
                          <w:rPr>
                            <w:sz w:val="24"/>
                            <w:szCs w:val="24"/>
                            <w:lang w:val="lt-LT"/>
                          </w:rPr>
                        </w:pPr>
                        <w:r w:rsidRPr="00CA28DC">
                          <w:rPr>
                            <w:sz w:val="24"/>
                            <w:szCs w:val="24"/>
                            <w:lang w:val="lt-LT"/>
                          </w:rPr>
                          <w:t>757</w:t>
                        </w:r>
                      </w:p>
                    </w:tc>
                    <w:tc>
                      <w:tcPr>
                        <w:tcW w:w="1439" w:type="dxa"/>
                        <w:tcBorders>
                          <w:top w:val="nil"/>
                          <w:left w:val="single" w:sz="4" w:space="0" w:color="auto"/>
                          <w:bottom w:val="single" w:sz="4" w:space="0" w:color="auto"/>
                          <w:right w:val="single" w:sz="4" w:space="0" w:color="auto"/>
                        </w:tcBorders>
                        <w:noWrap/>
                        <w:vAlign w:val="bottom"/>
                        <w:hideMark/>
                      </w:tcPr>
                      <w:p w14:paraId="7E97B807" w14:textId="77777777" w:rsidR="00990C62" w:rsidRPr="00CA28DC" w:rsidRDefault="00990C62">
                        <w:pPr>
                          <w:jc w:val="center"/>
                          <w:rPr>
                            <w:sz w:val="24"/>
                            <w:szCs w:val="24"/>
                            <w:lang w:val="lt-LT"/>
                          </w:rPr>
                        </w:pPr>
                        <w:r w:rsidRPr="00CA28DC">
                          <w:rPr>
                            <w:sz w:val="24"/>
                            <w:szCs w:val="24"/>
                            <w:lang w:val="lt-LT"/>
                          </w:rPr>
                          <w:t>2107</w:t>
                        </w:r>
                      </w:p>
                    </w:tc>
                    <w:tc>
                      <w:tcPr>
                        <w:tcW w:w="1161" w:type="dxa"/>
                        <w:tcBorders>
                          <w:top w:val="nil"/>
                          <w:left w:val="nil"/>
                          <w:bottom w:val="single" w:sz="4" w:space="0" w:color="auto"/>
                          <w:right w:val="single" w:sz="4" w:space="0" w:color="auto"/>
                        </w:tcBorders>
                        <w:noWrap/>
                        <w:vAlign w:val="bottom"/>
                        <w:hideMark/>
                      </w:tcPr>
                      <w:p w14:paraId="1D7BE68C" w14:textId="77777777" w:rsidR="00990C62" w:rsidRPr="00CA28DC" w:rsidRDefault="00990C62">
                        <w:pPr>
                          <w:jc w:val="center"/>
                          <w:rPr>
                            <w:sz w:val="24"/>
                            <w:szCs w:val="24"/>
                            <w:lang w:val="lt-LT"/>
                          </w:rPr>
                        </w:pPr>
                        <w:r w:rsidRPr="00CA28DC">
                          <w:rPr>
                            <w:sz w:val="24"/>
                            <w:szCs w:val="24"/>
                            <w:lang w:val="lt-LT"/>
                          </w:rPr>
                          <w:t>7235</w:t>
                        </w:r>
                      </w:p>
                    </w:tc>
                    <w:tc>
                      <w:tcPr>
                        <w:tcW w:w="931" w:type="dxa"/>
                        <w:tcBorders>
                          <w:top w:val="nil"/>
                          <w:left w:val="nil"/>
                          <w:bottom w:val="single" w:sz="4" w:space="0" w:color="auto"/>
                          <w:right w:val="single" w:sz="4" w:space="0" w:color="auto"/>
                        </w:tcBorders>
                        <w:noWrap/>
                        <w:vAlign w:val="bottom"/>
                        <w:hideMark/>
                      </w:tcPr>
                      <w:p w14:paraId="35484208" w14:textId="6AF46FED" w:rsidR="00990C62" w:rsidRPr="00CA28DC" w:rsidRDefault="00F93627" w:rsidP="00F93627">
                        <w:pPr>
                          <w:rPr>
                            <w:sz w:val="24"/>
                            <w:szCs w:val="24"/>
                            <w:lang w:val="lt-LT"/>
                          </w:rPr>
                        </w:pPr>
                        <w:r w:rsidRPr="00CA28DC">
                          <w:rPr>
                            <w:sz w:val="24"/>
                            <w:szCs w:val="24"/>
                            <w:lang w:val="lt-LT"/>
                          </w:rPr>
                          <w:t>1113</w:t>
                        </w:r>
                        <w:r w:rsidR="00990C62" w:rsidRPr="00CA28DC">
                          <w:rPr>
                            <w:sz w:val="24"/>
                            <w:szCs w:val="24"/>
                            <w:lang w:val="lt-LT"/>
                          </w:rPr>
                          <w:t>2</w:t>
                        </w:r>
                      </w:p>
                    </w:tc>
                  </w:tr>
                  <w:tr w:rsidR="002C38D9" w:rsidRPr="00CA28DC" w14:paraId="4047EEF2" w14:textId="77777777" w:rsidTr="00F93627">
                    <w:trPr>
                      <w:trHeight w:val="302"/>
                    </w:trPr>
                    <w:tc>
                      <w:tcPr>
                        <w:tcW w:w="554" w:type="dxa"/>
                        <w:tcBorders>
                          <w:top w:val="nil"/>
                          <w:left w:val="single" w:sz="4" w:space="0" w:color="auto"/>
                          <w:bottom w:val="single" w:sz="4" w:space="0" w:color="000000"/>
                          <w:right w:val="single" w:sz="4" w:space="0" w:color="auto"/>
                        </w:tcBorders>
                        <w:noWrap/>
                        <w:hideMark/>
                      </w:tcPr>
                      <w:p w14:paraId="6F28DA16" w14:textId="77777777" w:rsidR="00990C62" w:rsidRPr="00CA28DC" w:rsidRDefault="00990C62">
                        <w:pPr>
                          <w:rPr>
                            <w:sz w:val="24"/>
                            <w:szCs w:val="24"/>
                            <w:lang w:val="lt-LT"/>
                          </w:rPr>
                        </w:pPr>
                        <w:r w:rsidRPr="00CA28DC">
                          <w:rPr>
                            <w:sz w:val="24"/>
                            <w:szCs w:val="24"/>
                            <w:lang w:val="lt-LT"/>
                          </w:rPr>
                          <w:t> </w:t>
                        </w:r>
                      </w:p>
                    </w:tc>
                    <w:tc>
                      <w:tcPr>
                        <w:tcW w:w="2878" w:type="dxa"/>
                        <w:tcBorders>
                          <w:top w:val="nil"/>
                          <w:left w:val="nil"/>
                          <w:bottom w:val="single" w:sz="4" w:space="0" w:color="000000"/>
                          <w:right w:val="nil"/>
                        </w:tcBorders>
                        <w:noWrap/>
                        <w:hideMark/>
                      </w:tcPr>
                      <w:p w14:paraId="0D4368B2" w14:textId="77777777" w:rsidR="00990C62" w:rsidRPr="00CA28DC" w:rsidRDefault="00990C62">
                        <w:pPr>
                          <w:rPr>
                            <w:sz w:val="24"/>
                            <w:szCs w:val="24"/>
                            <w:lang w:val="lt-LT"/>
                          </w:rPr>
                        </w:pPr>
                        <w:r w:rsidRPr="00CA28DC">
                          <w:rPr>
                            <w:sz w:val="24"/>
                            <w:szCs w:val="24"/>
                            <w:lang w:val="lt-LT"/>
                          </w:rPr>
                          <w:t>kuras</w:t>
                        </w:r>
                      </w:p>
                    </w:tc>
                    <w:tc>
                      <w:tcPr>
                        <w:tcW w:w="1233" w:type="dxa"/>
                        <w:tcBorders>
                          <w:top w:val="nil"/>
                          <w:left w:val="single" w:sz="4" w:space="0" w:color="auto"/>
                          <w:bottom w:val="single" w:sz="4" w:space="0" w:color="auto"/>
                          <w:right w:val="single" w:sz="4" w:space="0" w:color="auto"/>
                        </w:tcBorders>
                        <w:noWrap/>
                        <w:vAlign w:val="bottom"/>
                        <w:hideMark/>
                      </w:tcPr>
                      <w:p w14:paraId="6E141AF3" w14:textId="77777777" w:rsidR="00990C62" w:rsidRPr="00CA28DC" w:rsidRDefault="00990C62">
                        <w:pPr>
                          <w:jc w:val="right"/>
                          <w:rPr>
                            <w:sz w:val="24"/>
                            <w:szCs w:val="24"/>
                            <w:lang w:val="lt-LT"/>
                          </w:rPr>
                        </w:pPr>
                        <w:r w:rsidRPr="00CA28DC">
                          <w:rPr>
                            <w:sz w:val="24"/>
                            <w:szCs w:val="24"/>
                            <w:lang w:val="lt-LT"/>
                          </w:rPr>
                          <w:t>1495</w:t>
                        </w:r>
                      </w:p>
                    </w:tc>
                    <w:tc>
                      <w:tcPr>
                        <w:tcW w:w="1247" w:type="dxa"/>
                        <w:gridSpan w:val="2"/>
                        <w:tcBorders>
                          <w:top w:val="single" w:sz="4" w:space="0" w:color="auto"/>
                          <w:left w:val="nil"/>
                          <w:bottom w:val="single" w:sz="4" w:space="0" w:color="auto"/>
                          <w:right w:val="single" w:sz="4" w:space="0" w:color="auto"/>
                        </w:tcBorders>
                        <w:vAlign w:val="bottom"/>
                        <w:hideMark/>
                      </w:tcPr>
                      <w:p w14:paraId="145AD584" w14:textId="77777777" w:rsidR="00990C62" w:rsidRPr="00CA28DC" w:rsidRDefault="00990C62">
                        <w:pPr>
                          <w:jc w:val="center"/>
                          <w:rPr>
                            <w:sz w:val="24"/>
                            <w:szCs w:val="24"/>
                            <w:lang w:val="lt-LT"/>
                          </w:rPr>
                        </w:pPr>
                        <w:r w:rsidRPr="00CA28DC">
                          <w:rPr>
                            <w:sz w:val="24"/>
                            <w:szCs w:val="24"/>
                            <w:lang w:val="lt-LT"/>
                          </w:rPr>
                          <w:t>249</w:t>
                        </w:r>
                      </w:p>
                    </w:tc>
                    <w:tc>
                      <w:tcPr>
                        <w:tcW w:w="1439" w:type="dxa"/>
                        <w:tcBorders>
                          <w:top w:val="nil"/>
                          <w:left w:val="single" w:sz="4" w:space="0" w:color="auto"/>
                          <w:bottom w:val="single" w:sz="4" w:space="0" w:color="auto"/>
                          <w:right w:val="single" w:sz="4" w:space="0" w:color="auto"/>
                        </w:tcBorders>
                        <w:noWrap/>
                        <w:vAlign w:val="bottom"/>
                        <w:hideMark/>
                      </w:tcPr>
                      <w:p w14:paraId="7BBDD887" w14:textId="77777777" w:rsidR="00990C62" w:rsidRPr="00CA28DC" w:rsidRDefault="00990C62">
                        <w:pPr>
                          <w:jc w:val="center"/>
                          <w:rPr>
                            <w:sz w:val="24"/>
                            <w:szCs w:val="24"/>
                            <w:lang w:val="lt-LT"/>
                          </w:rPr>
                        </w:pPr>
                        <w:r w:rsidRPr="00CA28DC">
                          <w:rPr>
                            <w:sz w:val="24"/>
                            <w:szCs w:val="24"/>
                            <w:lang w:val="lt-LT"/>
                          </w:rPr>
                          <w:t>60</w:t>
                        </w:r>
                      </w:p>
                    </w:tc>
                    <w:tc>
                      <w:tcPr>
                        <w:tcW w:w="1161" w:type="dxa"/>
                        <w:tcBorders>
                          <w:top w:val="nil"/>
                          <w:left w:val="nil"/>
                          <w:bottom w:val="single" w:sz="4" w:space="0" w:color="auto"/>
                          <w:right w:val="single" w:sz="4" w:space="0" w:color="auto"/>
                        </w:tcBorders>
                        <w:noWrap/>
                        <w:vAlign w:val="bottom"/>
                        <w:hideMark/>
                      </w:tcPr>
                      <w:p w14:paraId="3D28C05C" w14:textId="77777777" w:rsidR="00990C62" w:rsidRPr="00CA28DC" w:rsidRDefault="00990C62">
                        <w:pPr>
                          <w:jc w:val="center"/>
                          <w:rPr>
                            <w:sz w:val="24"/>
                            <w:szCs w:val="24"/>
                            <w:lang w:val="lt-LT"/>
                          </w:rPr>
                        </w:pPr>
                        <w:r w:rsidRPr="00CA28DC">
                          <w:rPr>
                            <w:sz w:val="24"/>
                            <w:szCs w:val="24"/>
                            <w:lang w:val="lt-LT"/>
                          </w:rPr>
                          <w:t>-</w:t>
                        </w:r>
                      </w:p>
                    </w:tc>
                    <w:tc>
                      <w:tcPr>
                        <w:tcW w:w="931" w:type="dxa"/>
                        <w:tcBorders>
                          <w:top w:val="nil"/>
                          <w:left w:val="nil"/>
                          <w:bottom w:val="single" w:sz="4" w:space="0" w:color="auto"/>
                          <w:right w:val="single" w:sz="4" w:space="0" w:color="auto"/>
                        </w:tcBorders>
                        <w:noWrap/>
                        <w:vAlign w:val="bottom"/>
                        <w:hideMark/>
                      </w:tcPr>
                      <w:p w14:paraId="5F685313" w14:textId="77777777" w:rsidR="00990C62" w:rsidRPr="00CA28DC" w:rsidRDefault="00990C62" w:rsidP="00F93627">
                        <w:pPr>
                          <w:rPr>
                            <w:sz w:val="24"/>
                            <w:szCs w:val="24"/>
                            <w:lang w:val="lt-LT"/>
                          </w:rPr>
                        </w:pPr>
                        <w:r w:rsidRPr="00CA28DC">
                          <w:rPr>
                            <w:sz w:val="24"/>
                            <w:szCs w:val="24"/>
                            <w:lang w:val="lt-LT"/>
                          </w:rPr>
                          <w:t>1804</w:t>
                        </w:r>
                      </w:p>
                    </w:tc>
                  </w:tr>
                  <w:tr w:rsidR="002C38D9" w:rsidRPr="00CA28DC" w14:paraId="2553E513" w14:textId="77777777" w:rsidTr="00F93627">
                    <w:trPr>
                      <w:trHeight w:val="302"/>
                    </w:trPr>
                    <w:tc>
                      <w:tcPr>
                        <w:tcW w:w="554" w:type="dxa"/>
                        <w:tcBorders>
                          <w:top w:val="nil"/>
                          <w:left w:val="single" w:sz="4" w:space="0" w:color="auto"/>
                          <w:bottom w:val="single" w:sz="4" w:space="0" w:color="000000"/>
                          <w:right w:val="single" w:sz="4" w:space="0" w:color="auto"/>
                        </w:tcBorders>
                        <w:noWrap/>
                        <w:hideMark/>
                      </w:tcPr>
                      <w:p w14:paraId="22A69B19" w14:textId="77777777" w:rsidR="00990C62" w:rsidRPr="00CA28DC" w:rsidRDefault="00990C62">
                        <w:pPr>
                          <w:rPr>
                            <w:sz w:val="24"/>
                            <w:szCs w:val="24"/>
                            <w:lang w:val="lt-LT"/>
                          </w:rPr>
                        </w:pPr>
                        <w:r w:rsidRPr="00CA28DC">
                          <w:rPr>
                            <w:sz w:val="24"/>
                            <w:szCs w:val="24"/>
                            <w:lang w:val="lt-LT"/>
                          </w:rPr>
                          <w:t> </w:t>
                        </w:r>
                      </w:p>
                    </w:tc>
                    <w:tc>
                      <w:tcPr>
                        <w:tcW w:w="2878" w:type="dxa"/>
                        <w:tcBorders>
                          <w:top w:val="nil"/>
                          <w:left w:val="nil"/>
                          <w:bottom w:val="single" w:sz="4" w:space="0" w:color="000000"/>
                          <w:right w:val="nil"/>
                        </w:tcBorders>
                        <w:noWrap/>
                        <w:hideMark/>
                      </w:tcPr>
                      <w:p w14:paraId="6C98D81C" w14:textId="77777777" w:rsidR="00990C62" w:rsidRPr="00CA28DC" w:rsidRDefault="00990C62">
                        <w:pPr>
                          <w:rPr>
                            <w:sz w:val="24"/>
                            <w:szCs w:val="24"/>
                            <w:lang w:val="lt-LT"/>
                          </w:rPr>
                        </w:pPr>
                        <w:r w:rsidRPr="00CA28DC">
                          <w:rPr>
                            <w:sz w:val="24"/>
                            <w:szCs w:val="24"/>
                            <w:lang w:val="lt-LT"/>
                          </w:rPr>
                          <w:t>elektra</w:t>
                        </w:r>
                      </w:p>
                    </w:tc>
                    <w:tc>
                      <w:tcPr>
                        <w:tcW w:w="1233" w:type="dxa"/>
                        <w:tcBorders>
                          <w:top w:val="nil"/>
                          <w:left w:val="single" w:sz="4" w:space="0" w:color="auto"/>
                          <w:bottom w:val="single" w:sz="4" w:space="0" w:color="auto"/>
                          <w:right w:val="single" w:sz="4" w:space="0" w:color="auto"/>
                        </w:tcBorders>
                        <w:noWrap/>
                        <w:vAlign w:val="bottom"/>
                        <w:hideMark/>
                      </w:tcPr>
                      <w:p w14:paraId="3EA795B2" w14:textId="77777777" w:rsidR="00990C62" w:rsidRPr="00CA28DC" w:rsidRDefault="00990C62">
                        <w:pPr>
                          <w:jc w:val="right"/>
                          <w:rPr>
                            <w:sz w:val="24"/>
                            <w:szCs w:val="24"/>
                            <w:lang w:val="lt-LT"/>
                          </w:rPr>
                        </w:pPr>
                        <w:r w:rsidRPr="00CA28DC">
                          <w:rPr>
                            <w:sz w:val="24"/>
                            <w:szCs w:val="24"/>
                            <w:lang w:val="lt-LT"/>
                          </w:rPr>
                          <w:t>559</w:t>
                        </w:r>
                      </w:p>
                    </w:tc>
                    <w:tc>
                      <w:tcPr>
                        <w:tcW w:w="1247" w:type="dxa"/>
                        <w:gridSpan w:val="2"/>
                        <w:tcBorders>
                          <w:top w:val="single" w:sz="4" w:space="0" w:color="auto"/>
                          <w:left w:val="nil"/>
                          <w:bottom w:val="single" w:sz="4" w:space="0" w:color="auto"/>
                          <w:right w:val="single" w:sz="4" w:space="0" w:color="auto"/>
                        </w:tcBorders>
                        <w:vAlign w:val="bottom"/>
                        <w:hideMark/>
                      </w:tcPr>
                      <w:p w14:paraId="3E269A51" w14:textId="77777777" w:rsidR="00990C62" w:rsidRPr="00CA28DC" w:rsidRDefault="00990C62">
                        <w:pPr>
                          <w:jc w:val="center"/>
                          <w:rPr>
                            <w:sz w:val="24"/>
                            <w:szCs w:val="24"/>
                            <w:lang w:val="lt-LT"/>
                          </w:rPr>
                        </w:pPr>
                        <w:r w:rsidRPr="00CA28DC">
                          <w:rPr>
                            <w:sz w:val="24"/>
                            <w:szCs w:val="24"/>
                            <w:lang w:val="lt-LT"/>
                          </w:rPr>
                          <w:t>-</w:t>
                        </w:r>
                      </w:p>
                    </w:tc>
                    <w:tc>
                      <w:tcPr>
                        <w:tcW w:w="1439" w:type="dxa"/>
                        <w:tcBorders>
                          <w:top w:val="nil"/>
                          <w:left w:val="single" w:sz="4" w:space="0" w:color="auto"/>
                          <w:bottom w:val="single" w:sz="4" w:space="0" w:color="auto"/>
                          <w:right w:val="single" w:sz="4" w:space="0" w:color="auto"/>
                        </w:tcBorders>
                        <w:noWrap/>
                        <w:vAlign w:val="bottom"/>
                        <w:hideMark/>
                      </w:tcPr>
                      <w:p w14:paraId="69FAE84B" w14:textId="77777777" w:rsidR="00990C62" w:rsidRPr="00CA28DC" w:rsidRDefault="00990C62">
                        <w:pPr>
                          <w:jc w:val="center"/>
                          <w:rPr>
                            <w:sz w:val="24"/>
                            <w:szCs w:val="24"/>
                            <w:lang w:val="lt-LT"/>
                          </w:rPr>
                        </w:pPr>
                        <w:r w:rsidRPr="00CA28DC">
                          <w:rPr>
                            <w:sz w:val="24"/>
                            <w:szCs w:val="24"/>
                            <w:lang w:val="lt-LT"/>
                          </w:rPr>
                          <w:t>-</w:t>
                        </w:r>
                      </w:p>
                    </w:tc>
                    <w:tc>
                      <w:tcPr>
                        <w:tcW w:w="1161" w:type="dxa"/>
                        <w:tcBorders>
                          <w:top w:val="nil"/>
                          <w:left w:val="nil"/>
                          <w:bottom w:val="single" w:sz="4" w:space="0" w:color="auto"/>
                          <w:right w:val="single" w:sz="4" w:space="0" w:color="auto"/>
                        </w:tcBorders>
                        <w:noWrap/>
                        <w:vAlign w:val="bottom"/>
                        <w:hideMark/>
                      </w:tcPr>
                      <w:p w14:paraId="59AE8167" w14:textId="77777777" w:rsidR="00990C62" w:rsidRPr="00CA28DC" w:rsidRDefault="00990C62">
                        <w:pPr>
                          <w:jc w:val="center"/>
                          <w:rPr>
                            <w:sz w:val="24"/>
                            <w:szCs w:val="24"/>
                            <w:lang w:val="lt-LT"/>
                          </w:rPr>
                        </w:pPr>
                        <w:r w:rsidRPr="00CA28DC">
                          <w:rPr>
                            <w:sz w:val="24"/>
                            <w:szCs w:val="24"/>
                            <w:lang w:val="lt-LT"/>
                          </w:rPr>
                          <w:t>695</w:t>
                        </w:r>
                      </w:p>
                    </w:tc>
                    <w:tc>
                      <w:tcPr>
                        <w:tcW w:w="931" w:type="dxa"/>
                        <w:tcBorders>
                          <w:top w:val="nil"/>
                          <w:left w:val="nil"/>
                          <w:bottom w:val="single" w:sz="4" w:space="0" w:color="auto"/>
                          <w:right w:val="single" w:sz="4" w:space="0" w:color="auto"/>
                        </w:tcBorders>
                        <w:noWrap/>
                        <w:vAlign w:val="bottom"/>
                        <w:hideMark/>
                      </w:tcPr>
                      <w:p w14:paraId="16A72570" w14:textId="77777777" w:rsidR="00990C62" w:rsidRPr="00CA28DC" w:rsidRDefault="00990C62" w:rsidP="00F93627">
                        <w:pPr>
                          <w:rPr>
                            <w:sz w:val="24"/>
                            <w:szCs w:val="24"/>
                            <w:lang w:val="lt-LT"/>
                          </w:rPr>
                        </w:pPr>
                        <w:r w:rsidRPr="00CA28DC">
                          <w:rPr>
                            <w:sz w:val="24"/>
                            <w:szCs w:val="24"/>
                            <w:lang w:val="lt-LT"/>
                          </w:rPr>
                          <w:t>1254</w:t>
                        </w:r>
                      </w:p>
                    </w:tc>
                  </w:tr>
                  <w:tr w:rsidR="002C38D9" w:rsidRPr="00CA28DC" w14:paraId="7A5769AB" w14:textId="77777777" w:rsidTr="00F93627">
                    <w:trPr>
                      <w:trHeight w:val="302"/>
                    </w:trPr>
                    <w:tc>
                      <w:tcPr>
                        <w:tcW w:w="554" w:type="dxa"/>
                        <w:tcBorders>
                          <w:top w:val="nil"/>
                          <w:left w:val="single" w:sz="4" w:space="0" w:color="auto"/>
                          <w:bottom w:val="single" w:sz="4" w:space="0" w:color="000000"/>
                          <w:right w:val="single" w:sz="4" w:space="0" w:color="auto"/>
                        </w:tcBorders>
                        <w:noWrap/>
                        <w:hideMark/>
                      </w:tcPr>
                      <w:p w14:paraId="1E87C3E6" w14:textId="77777777" w:rsidR="00990C62" w:rsidRPr="00CA28DC" w:rsidRDefault="00990C62">
                        <w:pPr>
                          <w:rPr>
                            <w:sz w:val="24"/>
                            <w:szCs w:val="24"/>
                            <w:lang w:val="lt-LT"/>
                          </w:rPr>
                        </w:pPr>
                        <w:r w:rsidRPr="00CA28DC">
                          <w:rPr>
                            <w:sz w:val="24"/>
                            <w:szCs w:val="24"/>
                            <w:lang w:val="lt-LT"/>
                          </w:rPr>
                          <w:t> </w:t>
                        </w:r>
                      </w:p>
                    </w:tc>
                    <w:tc>
                      <w:tcPr>
                        <w:tcW w:w="2878" w:type="dxa"/>
                        <w:tcBorders>
                          <w:top w:val="nil"/>
                          <w:left w:val="nil"/>
                          <w:bottom w:val="single" w:sz="4" w:space="0" w:color="000000"/>
                          <w:right w:val="nil"/>
                        </w:tcBorders>
                        <w:noWrap/>
                        <w:hideMark/>
                      </w:tcPr>
                      <w:p w14:paraId="597318A8" w14:textId="77777777" w:rsidR="00990C62" w:rsidRPr="00CA28DC" w:rsidRDefault="00990C62">
                        <w:pPr>
                          <w:rPr>
                            <w:sz w:val="24"/>
                            <w:szCs w:val="24"/>
                            <w:lang w:val="lt-LT"/>
                          </w:rPr>
                        </w:pPr>
                        <w:r w:rsidRPr="00CA28DC">
                          <w:rPr>
                            <w:sz w:val="24"/>
                            <w:szCs w:val="24"/>
                            <w:lang w:val="lt-LT"/>
                          </w:rPr>
                          <w:t>vanduo</w:t>
                        </w:r>
                      </w:p>
                    </w:tc>
                    <w:tc>
                      <w:tcPr>
                        <w:tcW w:w="1233" w:type="dxa"/>
                        <w:tcBorders>
                          <w:top w:val="nil"/>
                          <w:left w:val="single" w:sz="4" w:space="0" w:color="auto"/>
                          <w:bottom w:val="single" w:sz="4" w:space="0" w:color="auto"/>
                          <w:right w:val="single" w:sz="4" w:space="0" w:color="auto"/>
                        </w:tcBorders>
                        <w:noWrap/>
                        <w:vAlign w:val="bottom"/>
                        <w:hideMark/>
                      </w:tcPr>
                      <w:p w14:paraId="2F85D786" w14:textId="77777777" w:rsidR="00990C62" w:rsidRPr="00CA28DC" w:rsidRDefault="00990C62">
                        <w:pPr>
                          <w:jc w:val="right"/>
                          <w:rPr>
                            <w:sz w:val="24"/>
                            <w:szCs w:val="24"/>
                            <w:lang w:val="lt-LT"/>
                          </w:rPr>
                        </w:pPr>
                        <w:r w:rsidRPr="00CA28DC">
                          <w:rPr>
                            <w:sz w:val="24"/>
                            <w:szCs w:val="24"/>
                            <w:lang w:val="lt-LT"/>
                          </w:rPr>
                          <w:t>650</w:t>
                        </w:r>
                      </w:p>
                    </w:tc>
                    <w:tc>
                      <w:tcPr>
                        <w:tcW w:w="1247" w:type="dxa"/>
                        <w:gridSpan w:val="2"/>
                        <w:tcBorders>
                          <w:top w:val="single" w:sz="4" w:space="0" w:color="auto"/>
                          <w:left w:val="nil"/>
                          <w:bottom w:val="single" w:sz="4" w:space="0" w:color="auto"/>
                          <w:right w:val="single" w:sz="4" w:space="0" w:color="auto"/>
                        </w:tcBorders>
                        <w:vAlign w:val="bottom"/>
                        <w:hideMark/>
                      </w:tcPr>
                      <w:p w14:paraId="3CA9F823" w14:textId="77777777" w:rsidR="00990C62" w:rsidRPr="00CA28DC" w:rsidRDefault="00990C62">
                        <w:pPr>
                          <w:jc w:val="center"/>
                          <w:rPr>
                            <w:sz w:val="24"/>
                            <w:szCs w:val="24"/>
                            <w:lang w:val="lt-LT"/>
                          </w:rPr>
                        </w:pPr>
                        <w:r w:rsidRPr="00CA28DC">
                          <w:rPr>
                            <w:sz w:val="24"/>
                            <w:szCs w:val="24"/>
                            <w:lang w:val="lt-LT"/>
                          </w:rPr>
                          <w:t>-</w:t>
                        </w:r>
                      </w:p>
                    </w:tc>
                    <w:tc>
                      <w:tcPr>
                        <w:tcW w:w="1439" w:type="dxa"/>
                        <w:tcBorders>
                          <w:top w:val="nil"/>
                          <w:left w:val="single" w:sz="4" w:space="0" w:color="auto"/>
                          <w:bottom w:val="single" w:sz="4" w:space="0" w:color="auto"/>
                          <w:right w:val="single" w:sz="4" w:space="0" w:color="auto"/>
                        </w:tcBorders>
                        <w:noWrap/>
                        <w:vAlign w:val="bottom"/>
                        <w:hideMark/>
                      </w:tcPr>
                      <w:p w14:paraId="5FA122FE" w14:textId="77777777" w:rsidR="00990C62" w:rsidRPr="00CA28DC" w:rsidRDefault="00990C62">
                        <w:pPr>
                          <w:jc w:val="center"/>
                          <w:rPr>
                            <w:sz w:val="24"/>
                            <w:szCs w:val="24"/>
                            <w:lang w:val="lt-LT"/>
                          </w:rPr>
                        </w:pPr>
                        <w:r w:rsidRPr="00CA28DC">
                          <w:rPr>
                            <w:sz w:val="24"/>
                            <w:szCs w:val="24"/>
                            <w:lang w:val="lt-LT"/>
                          </w:rPr>
                          <w:t>-</w:t>
                        </w:r>
                      </w:p>
                    </w:tc>
                    <w:tc>
                      <w:tcPr>
                        <w:tcW w:w="1161" w:type="dxa"/>
                        <w:tcBorders>
                          <w:top w:val="nil"/>
                          <w:left w:val="nil"/>
                          <w:bottom w:val="single" w:sz="4" w:space="0" w:color="auto"/>
                          <w:right w:val="single" w:sz="4" w:space="0" w:color="auto"/>
                        </w:tcBorders>
                        <w:noWrap/>
                        <w:vAlign w:val="bottom"/>
                        <w:hideMark/>
                      </w:tcPr>
                      <w:p w14:paraId="43C840AA" w14:textId="77777777" w:rsidR="00990C62" w:rsidRPr="00CA28DC" w:rsidRDefault="00990C62">
                        <w:pPr>
                          <w:jc w:val="center"/>
                          <w:rPr>
                            <w:sz w:val="24"/>
                            <w:szCs w:val="24"/>
                            <w:lang w:val="lt-LT"/>
                          </w:rPr>
                        </w:pPr>
                        <w:r w:rsidRPr="00CA28DC">
                          <w:rPr>
                            <w:sz w:val="24"/>
                            <w:szCs w:val="24"/>
                            <w:lang w:val="lt-LT"/>
                          </w:rPr>
                          <w:t>40</w:t>
                        </w:r>
                      </w:p>
                    </w:tc>
                    <w:tc>
                      <w:tcPr>
                        <w:tcW w:w="931" w:type="dxa"/>
                        <w:tcBorders>
                          <w:top w:val="nil"/>
                          <w:left w:val="nil"/>
                          <w:bottom w:val="single" w:sz="4" w:space="0" w:color="auto"/>
                          <w:right w:val="single" w:sz="4" w:space="0" w:color="auto"/>
                        </w:tcBorders>
                        <w:noWrap/>
                        <w:vAlign w:val="bottom"/>
                        <w:hideMark/>
                      </w:tcPr>
                      <w:p w14:paraId="7465A427" w14:textId="77777777" w:rsidR="00990C62" w:rsidRPr="00CA28DC" w:rsidRDefault="00990C62" w:rsidP="00F93627">
                        <w:pPr>
                          <w:rPr>
                            <w:sz w:val="24"/>
                            <w:szCs w:val="24"/>
                            <w:lang w:val="lt-LT"/>
                          </w:rPr>
                        </w:pPr>
                        <w:r w:rsidRPr="00CA28DC">
                          <w:rPr>
                            <w:sz w:val="24"/>
                            <w:szCs w:val="24"/>
                            <w:lang w:val="lt-LT"/>
                          </w:rPr>
                          <w:t>690</w:t>
                        </w:r>
                      </w:p>
                    </w:tc>
                  </w:tr>
                  <w:tr w:rsidR="002C38D9" w:rsidRPr="00CA28DC" w14:paraId="29941066" w14:textId="77777777" w:rsidTr="00F93627">
                    <w:trPr>
                      <w:trHeight w:val="302"/>
                    </w:trPr>
                    <w:tc>
                      <w:tcPr>
                        <w:tcW w:w="554" w:type="dxa"/>
                        <w:tcBorders>
                          <w:top w:val="nil"/>
                          <w:left w:val="single" w:sz="4" w:space="0" w:color="auto"/>
                          <w:bottom w:val="single" w:sz="4" w:space="0" w:color="000000"/>
                          <w:right w:val="single" w:sz="4" w:space="0" w:color="auto"/>
                        </w:tcBorders>
                        <w:noWrap/>
                        <w:hideMark/>
                      </w:tcPr>
                      <w:p w14:paraId="067DCEEB" w14:textId="77777777" w:rsidR="00990C62" w:rsidRPr="00CA28DC" w:rsidRDefault="00990C62">
                        <w:pPr>
                          <w:rPr>
                            <w:sz w:val="24"/>
                            <w:szCs w:val="24"/>
                            <w:lang w:val="lt-LT"/>
                          </w:rPr>
                        </w:pPr>
                        <w:r w:rsidRPr="00CA28DC">
                          <w:rPr>
                            <w:sz w:val="24"/>
                            <w:szCs w:val="24"/>
                            <w:lang w:val="lt-LT"/>
                          </w:rPr>
                          <w:t> </w:t>
                        </w:r>
                      </w:p>
                    </w:tc>
                    <w:tc>
                      <w:tcPr>
                        <w:tcW w:w="2878" w:type="dxa"/>
                        <w:tcBorders>
                          <w:top w:val="nil"/>
                          <w:left w:val="nil"/>
                          <w:bottom w:val="single" w:sz="4" w:space="0" w:color="000000"/>
                          <w:right w:val="nil"/>
                        </w:tcBorders>
                        <w:noWrap/>
                        <w:hideMark/>
                      </w:tcPr>
                      <w:p w14:paraId="2377C259" w14:textId="77777777" w:rsidR="00990C62" w:rsidRPr="00CA28DC" w:rsidRDefault="00990C62">
                        <w:pPr>
                          <w:rPr>
                            <w:sz w:val="24"/>
                            <w:szCs w:val="24"/>
                            <w:lang w:val="lt-LT"/>
                          </w:rPr>
                        </w:pPr>
                        <w:r w:rsidRPr="00CA28DC">
                          <w:rPr>
                            <w:sz w:val="24"/>
                            <w:szCs w:val="24"/>
                            <w:lang w:val="lt-LT"/>
                          </w:rPr>
                          <w:t>ryšių paslaugos</w:t>
                        </w:r>
                      </w:p>
                    </w:tc>
                    <w:tc>
                      <w:tcPr>
                        <w:tcW w:w="1233" w:type="dxa"/>
                        <w:tcBorders>
                          <w:top w:val="nil"/>
                          <w:left w:val="single" w:sz="4" w:space="0" w:color="auto"/>
                          <w:bottom w:val="single" w:sz="4" w:space="0" w:color="auto"/>
                          <w:right w:val="single" w:sz="4" w:space="0" w:color="auto"/>
                        </w:tcBorders>
                        <w:noWrap/>
                        <w:vAlign w:val="bottom"/>
                        <w:hideMark/>
                      </w:tcPr>
                      <w:p w14:paraId="446793EB" w14:textId="77777777" w:rsidR="00990C62" w:rsidRPr="00CA28DC" w:rsidRDefault="00990C62">
                        <w:pPr>
                          <w:jc w:val="right"/>
                          <w:rPr>
                            <w:sz w:val="24"/>
                            <w:szCs w:val="24"/>
                            <w:lang w:val="lt-LT"/>
                          </w:rPr>
                        </w:pPr>
                        <w:r w:rsidRPr="00CA28DC">
                          <w:rPr>
                            <w:sz w:val="24"/>
                            <w:szCs w:val="24"/>
                            <w:lang w:val="lt-LT"/>
                          </w:rPr>
                          <w:t>681</w:t>
                        </w:r>
                      </w:p>
                    </w:tc>
                    <w:tc>
                      <w:tcPr>
                        <w:tcW w:w="1247" w:type="dxa"/>
                        <w:gridSpan w:val="2"/>
                        <w:tcBorders>
                          <w:top w:val="single" w:sz="4" w:space="0" w:color="auto"/>
                          <w:left w:val="nil"/>
                          <w:bottom w:val="single" w:sz="4" w:space="0" w:color="auto"/>
                          <w:right w:val="single" w:sz="4" w:space="0" w:color="auto"/>
                        </w:tcBorders>
                        <w:vAlign w:val="bottom"/>
                        <w:hideMark/>
                      </w:tcPr>
                      <w:p w14:paraId="54A27211" w14:textId="77777777" w:rsidR="00990C62" w:rsidRPr="00CA28DC" w:rsidRDefault="00990C62">
                        <w:pPr>
                          <w:jc w:val="center"/>
                          <w:rPr>
                            <w:sz w:val="24"/>
                            <w:szCs w:val="24"/>
                            <w:lang w:val="lt-LT"/>
                          </w:rPr>
                        </w:pPr>
                        <w:r w:rsidRPr="00CA28DC">
                          <w:rPr>
                            <w:sz w:val="24"/>
                            <w:szCs w:val="24"/>
                            <w:lang w:val="lt-LT"/>
                          </w:rPr>
                          <w:t>127</w:t>
                        </w:r>
                      </w:p>
                    </w:tc>
                    <w:tc>
                      <w:tcPr>
                        <w:tcW w:w="1439" w:type="dxa"/>
                        <w:tcBorders>
                          <w:top w:val="nil"/>
                          <w:left w:val="single" w:sz="4" w:space="0" w:color="auto"/>
                          <w:bottom w:val="single" w:sz="4" w:space="0" w:color="auto"/>
                          <w:right w:val="single" w:sz="4" w:space="0" w:color="auto"/>
                        </w:tcBorders>
                        <w:noWrap/>
                        <w:vAlign w:val="bottom"/>
                        <w:hideMark/>
                      </w:tcPr>
                      <w:p w14:paraId="76FECBE4" w14:textId="77777777" w:rsidR="00990C62" w:rsidRPr="00CA28DC" w:rsidRDefault="00990C62">
                        <w:pPr>
                          <w:jc w:val="center"/>
                          <w:rPr>
                            <w:sz w:val="24"/>
                            <w:szCs w:val="24"/>
                            <w:lang w:val="lt-LT"/>
                          </w:rPr>
                        </w:pPr>
                        <w:r w:rsidRPr="00CA28DC">
                          <w:rPr>
                            <w:sz w:val="24"/>
                            <w:szCs w:val="24"/>
                            <w:lang w:val="lt-LT"/>
                          </w:rPr>
                          <w:t>45</w:t>
                        </w:r>
                      </w:p>
                    </w:tc>
                    <w:tc>
                      <w:tcPr>
                        <w:tcW w:w="1161" w:type="dxa"/>
                        <w:tcBorders>
                          <w:top w:val="nil"/>
                          <w:left w:val="nil"/>
                          <w:bottom w:val="single" w:sz="4" w:space="0" w:color="auto"/>
                          <w:right w:val="single" w:sz="4" w:space="0" w:color="auto"/>
                        </w:tcBorders>
                        <w:noWrap/>
                        <w:vAlign w:val="bottom"/>
                        <w:hideMark/>
                      </w:tcPr>
                      <w:p w14:paraId="27E0E23D" w14:textId="77777777" w:rsidR="00990C62" w:rsidRPr="00CA28DC" w:rsidRDefault="00990C62">
                        <w:pPr>
                          <w:jc w:val="center"/>
                          <w:rPr>
                            <w:sz w:val="24"/>
                            <w:szCs w:val="24"/>
                            <w:lang w:val="lt-LT"/>
                          </w:rPr>
                        </w:pPr>
                        <w:r w:rsidRPr="00CA28DC">
                          <w:rPr>
                            <w:sz w:val="24"/>
                            <w:szCs w:val="24"/>
                            <w:lang w:val="lt-LT"/>
                          </w:rPr>
                          <w:t>336</w:t>
                        </w:r>
                      </w:p>
                    </w:tc>
                    <w:tc>
                      <w:tcPr>
                        <w:tcW w:w="931" w:type="dxa"/>
                        <w:tcBorders>
                          <w:top w:val="nil"/>
                          <w:left w:val="nil"/>
                          <w:bottom w:val="single" w:sz="4" w:space="0" w:color="auto"/>
                          <w:right w:val="single" w:sz="4" w:space="0" w:color="auto"/>
                        </w:tcBorders>
                        <w:noWrap/>
                        <w:vAlign w:val="bottom"/>
                        <w:hideMark/>
                      </w:tcPr>
                      <w:p w14:paraId="7954141A" w14:textId="77777777" w:rsidR="00990C62" w:rsidRPr="00CA28DC" w:rsidRDefault="00990C62" w:rsidP="00F93627">
                        <w:pPr>
                          <w:rPr>
                            <w:sz w:val="24"/>
                            <w:szCs w:val="24"/>
                            <w:lang w:val="lt-LT"/>
                          </w:rPr>
                        </w:pPr>
                        <w:r w:rsidRPr="00CA28DC">
                          <w:rPr>
                            <w:sz w:val="24"/>
                            <w:szCs w:val="24"/>
                            <w:lang w:val="lt-LT"/>
                          </w:rPr>
                          <w:t>1189</w:t>
                        </w:r>
                      </w:p>
                    </w:tc>
                  </w:tr>
                  <w:tr w:rsidR="002C38D9" w:rsidRPr="00CA28DC" w14:paraId="2FE7DDCD" w14:textId="77777777" w:rsidTr="00F93627">
                    <w:trPr>
                      <w:trHeight w:val="302"/>
                    </w:trPr>
                    <w:tc>
                      <w:tcPr>
                        <w:tcW w:w="554" w:type="dxa"/>
                        <w:tcBorders>
                          <w:top w:val="nil"/>
                          <w:left w:val="single" w:sz="4" w:space="0" w:color="auto"/>
                          <w:bottom w:val="single" w:sz="4" w:space="0" w:color="000000"/>
                          <w:right w:val="single" w:sz="4" w:space="0" w:color="auto"/>
                        </w:tcBorders>
                        <w:noWrap/>
                        <w:hideMark/>
                      </w:tcPr>
                      <w:p w14:paraId="3045E2B6" w14:textId="77777777" w:rsidR="00990C62" w:rsidRPr="00CA28DC" w:rsidRDefault="00990C62">
                        <w:pPr>
                          <w:rPr>
                            <w:sz w:val="24"/>
                            <w:szCs w:val="24"/>
                            <w:lang w:val="lt-LT"/>
                          </w:rPr>
                        </w:pPr>
                        <w:r w:rsidRPr="00CA28DC">
                          <w:rPr>
                            <w:sz w:val="24"/>
                            <w:szCs w:val="24"/>
                            <w:lang w:val="lt-LT"/>
                          </w:rPr>
                          <w:t> </w:t>
                        </w:r>
                      </w:p>
                    </w:tc>
                    <w:tc>
                      <w:tcPr>
                        <w:tcW w:w="2878" w:type="dxa"/>
                        <w:tcBorders>
                          <w:top w:val="nil"/>
                          <w:left w:val="nil"/>
                          <w:bottom w:val="single" w:sz="4" w:space="0" w:color="000000"/>
                          <w:right w:val="nil"/>
                        </w:tcBorders>
                        <w:noWrap/>
                        <w:hideMark/>
                      </w:tcPr>
                      <w:p w14:paraId="041728CD" w14:textId="77777777" w:rsidR="00990C62" w:rsidRPr="00CA28DC" w:rsidRDefault="00990C62">
                        <w:pPr>
                          <w:rPr>
                            <w:sz w:val="24"/>
                            <w:szCs w:val="24"/>
                            <w:lang w:val="lt-LT"/>
                          </w:rPr>
                        </w:pPr>
                        <w:r w:rsidRPr="00CA28DC">
                          <w:rPr>
                            <w:sz w:val="24"/>
                            <w:szCs w:val="24"/>
                            <w:lang w:val="lt-LT"/>
                          </w:rPr>
                          <w:t>administracinės sąnaudos</w:t>
                        </w:r>
                      </w:p>
                    </w:tc>
                    <w:tc>
                      <w:tcPr>
                        <w:tcW w:w="1233" w:type="dxa"/>
                        <w:tcBorders>
                          <w:top w:val="nil"/>
                          <w:left w:val="single" w:sz="4" w:space="0" w:color="auto"/>
                          <w:bottom w:val="single" w:sz="4" w:space="0" w:color="auto"/>
                          <w:right w:val="single" w:sz="4" w:space="0" w:color="auto"/>
                        </w:tcBorders>
                        <w:noWrap/>
                        <w:vAlign w:val="bottom"/>
                        <w:hideMark/>
                      </w:tcPr>
                      <w:p w14:paraId="0784FB4C" w14:textId="77777777" w:rsidR="00990C62" w:rsidRPr="00CA28DC" w:rsidRDefault="00990C62">
                        <w:pPr>
                          <w:jc w:val="right"/>
                          <w:rPr>
                            <w:sz w:val="24"/>
                            <w:szCs w:val="24"/>
                            <w:lang w:val="lt-LT"/>
                          </w:rPr>
                        </w:pPr>
                        <w:r w:rsidRPr="00CA28DC">
                          <w:rPr>
                            <w:sz w:val="24"/>
                            <w:szCs w:val="24"/>
                            <w:lang w:val="lt-LT"/>
                          </w:rPr>
                          <w:t>88682</w:t>
                        </w:r>
                      </w:p>
                    </w:tc>
                    <w:tc>
                      <w:tcPr>
                        <w:tcW w:w="1247" w:type="dxa"/>
                        <w:gridSpan w:val="2"/>
                        <w:tcBorders>
                          <w:top w:val="single" w:sz="4" w:space="0" w:color="auto"/>
                          <w:left w:val="nil"/>
                          <w:bottom w:val="single" w:sz="4" w:space="0" w:color="auto"/>
                          <w:right w:val="single" w:sz="4" w:space="0" w:color="auto"/>
                        </w:tcBorders>
                        <w:vAlign w:val="bottom"/>
                        <w:hideMark/>
                      </w:tcPr>
                      <w:p w14:paraId="13A93647" w14:textId="77777777" w:rsidR="00990C62" w:rsidRPr="00CA28DC" w:rsidRDefault="00990C62">
                        <w:pPr>
                          <w:jc w:val="center"/>
                          <w:rPr>
                            <w:sz w:val="24"/>
                            <w:szCs w:val="24"/>
                            <w:lang w:val="lt-LT"/>
                          </w:rPr>
                        </w:pPr>
                        <w:r w:rsidRPr="00CA28DC">
                          <w:rPr>
                            <w:sz w:val="24"/>
                            <w:szCs w:val="24"/>
                            <w:lang w:val="lt-LT"/>
                          </w:rPr>
                          <w:t>13559</w:t>
                        </w:r>
                      </w:p>
                    </w:tc>
                    <w:tc>
                      <w:tcPr>
                        <w:tcW w:w="1439" w:type="dxa"/>
                        <w:tcBorders>
                          <w:top w:val="nil"/>
                          <w:left w:val="single" w:sz="4" w:space="0" w:color="auto"/>
                          <w:bottom w:val="single" w:sz="4" w:space="0" w:color="auto"/>
                          <w:right w:val="single" w:sz="4" w:space="0" w:color="auto"/>
                        </w:tcBorders>
                        <w:noWrap/>
                        <w:vAlign w:val="bottom"/>
                        <w:hideMark/>
                      </w:tcPr>
                      <w:p w14:paraId="5D9406F3" w14:textId="77777777" w:rsidR="00990C62" w:rsidRPr="00CA28DC" w:rsidRDefault="00990C62">
                        <w:pPr>
                          <w:jc w:val="center"/>
                          <w:rPr>
                            <w:sz w:val="24"/>
                            <w:szCs w:val="24"/>
                            <w:lang w:val="lt-LT"/>
                          </w:rPr>
                        </w:pPr>
                        <w:r w:rsidRPr="00CA28DC">
                          <w:rPr>
                            <w:sz w:val="24"/>
                            <w:szCs w:val="24"/>
                            <w:lang w:val="lt-LT"/>
                          </w:rPr>
                          <w:t>3609</w:t>
                        </w:r>
                      </w:p>
                    </w:tc>
                    <w:tc>
                      <w:tcPr>
                        <w:tcW w:w="1161" w:type="dxa"/>
                        <w:tcBorders>
                          <w:top w:val="nil"/>
                          <w:left w:val="nil"/>
                          <w:bottom w:val="single" w:sz="4" w:space="0" w:color="auto"/>
                          <w:right w:val="single" w:sz="4" w:space="0" w:color="auto"/>
                        </w:tcBorders>
                        <w:noWrap/>
                        <w:vAlign w:val="bottom"/>
                        <w:hideMark/>
                      </w:tcPr>
                      <w:p w14:paraId="12DB8B38" w14:textId="77777777" w:rsidR="00990C62" w:rsidRPr="00CA28DC" w:rsidRDefault="00990C62">
                        <w:pPr>
                          <w:jc w:val="center"/>
                          <w:rPr>
                            <w:sz w:val="24"/>
                            <w:szCs w:val="24"/>
                            <w:lang w:val="lt-LT"/>
                          </w:rPr>
                        </w:pPr>
                        <w:r w:rsidRPr="00CA28DC">
                          <w:rPr>
                            <w:sz w:val="24"/>
                            <w:szCs w:val="24"/>
                            <w:lang w:val="lt-LT"/>
                          </w:rPr>
                          <w:t>5221</w:t>
                        </w:r>
                      </w:p>
                    </w:tc>
                    <w:tc>
                      <w:tcPr>
                        <w:tcW w:w="931" w:type="dxa"/>
                        <w:tcBorders>
                          <w:top w:val="nil"/>
                          <w:left w:val="nil"/>
                          <w:bottom w:val="single" w:sz="4" w:space="0" w:color="auto"/>
                          <w:right w:val="single" w:sz="4" w:space="0" w:color="auto"/>
                        </w:tcBorders>
                        <w:noWrap/>
                        <w:vAlign w:val="bottom"/>
                        <w:hideMark/>
                      </w:tcPr>
                      <w:p w14:paraId="0B78AF40" w14:textId="6C04069F" w:rsidR="00990C62" w:rsidRPr="00CA28DC" w:rsidRDefault="00F93627" w:rsidP="00F93627">
                        <w:pPr>
                          <w:rPr>
                            <w:sz w:val="24"/>
                            <w:szCs w:val="24"/>
                            <w:lang w:val="lt-LT"/>
                          </w:rPr>
                        </w:pPr>
                        <w:r w:rsidRPr="00CA28DC">
                          <w:rPr>
                            <w:sz w:val="24"/>
                            <w:szCs w:val="24"/>
                            <w:lang w:val="lt-LT"/>
                          </w:rPr>
                          <w:t>1110</w:t>
                        </w:r>
                        <w:r w:rsidR="00990C62" w:rsidRPr="00CA28DC">
                          <w:rPr>
                            <w:sz w:val="24"/>
                            <w:szCs w:val="24"/>
                            <w:lang w:val="lt-LT"/>
                          </w:rPr>
                          <w:t>1</w:t>
                        </w:r>
                      </w:p>
                    </w:tc>
                  </w:tr>
                  <w:tr w:rsidR="002C38D9" w:rsidRPr="00CA28DC" w14:paraId="76C59202" w14:textId="77777777" w:rsidTr="00F93627">
                    <w:trPr>
                      <w:trHeight w:val="302"/>
                    </w:trPr>
                    <w:tc>
                      <w:tcPr>
                        <w:tcW w:w="554" w:type="dxa"/>
                        <w:tcBorders>
                          <w:top w:val="nil"/>
                          <w:left w:val="single" w:sz="4" w:space="0" w:color="auto"/>
                          <w:bottom w:val="single" w:sz="4" w:space="0" w:color="000000"/>
                          <w:right w:val="single" w:sz="4" w:space="0" w:color="auto"/>
                        </w:tcBorders>
                        <w:noWrap/>
                        <w:hideMark/>
                      </w:tcPr>
                      <w:p w14:paraId="6D34DA1C" w14:textId="77777777" w:rsidR="00990C62" w:rsidRPr="00CA28DC" w:rsidRDefault="00990C62">
                        <w:pPr>
                          <w:rPr>
                            <w:sz w:val="24"/>
                            <w:szCs w:val="24"/>
                            <w:lang w:val="lt-LT"/>
                          </w:rPr>
                        </w:pPr>
                        <w:r w:rsidRPr="00CA28DC">
                          <w:rPr>
                            <w:sz w:val="24"/>
                            <w:szCs w:val="24"/>
                            <w:lang w:val="lt-LT"/>
                          </w:rPr>
                          <w:t> </w:t>
                        </w:r>
                      </w:p>
                    </w:tc>
                    <w:tc>
                      <w:tcPr>
                        <w:tcW w:w="2878" w:type="dxa"/>
                        <w:tcBorders>
                          <w:top w:val="nil"/>
                          <w:left w:val="nil"/>
                          <w:bottom w:val="single" w:sz="4" w:space="0" w:color="000000"/>
                          <w:right w:val="nil"/>
                        </w:tcBorders>
                        <w:noWrap/>
                        <w:hideMark/>
                      </w:tcPr>
                      <w:p w14:paraId="1FA05FCE" w14:textId="77777777" w:rsidR="00990C62" w:rsidRPr="00CA28DC" w:rsidRDefault="00990C62">
                        <w:pPr>
                          <w:rPr>
                            <w:sz w:val="24"/>
                            <w:szCs w:val="24"/>
                            <w:lang w:val="lt-LT"/>
                          </w:rPr>
                        </w:pPr>
                        <w:r w:rsidRPr="00CA28DC">
                          <w:rPr>
                            <w:sz w:val="24"/>
                            <w:szCs w:val="24"/>
                            <w:lang w:val="lt-LT"/>
                          </w:rPr>
                          <w:t>Palūkanų ir kitos panašios sąnaudos</w:t>
                        </w:r>
                      </w:p>
                    </w:tc>
                    <w:tc>
                      <w:tcPr>
                        <w:tcW w:w="1233" w:type="dxa"/>
                        <w:tcBorders>
                          <w:top w:val="nil"/>
                          <w:left w:val="single" w:sz="4" w:space="0" w:color="auto"/>
                          <w:bottom w:val="single" w:sz="4" w:space="0" w:color="auto"/>
                          <w:right w:val="single" w:sz="4" w:space="0" w:color="auto"/>
                        </w:tcBorders>
                        <w:noWrap/>
                        <w:vAlign w:val="bottom"/>
                        <w:hideMark/>
                      </w:tcPr>
                      <w:p w14:paraId="66883095" w14:textId="77777777" w:rsidR="00990C62" w:rsidRPr="00CA28DC" w:rsidRDefault="00990C62">
                        <w:pPr>
                          <w:jc w:val="center"/>
                          <w:rPr>
                            <w:sz w:val="24"/>
                            <w:szCs w:val="24"/>
                            <w:lang w:val="lt-LT"/>
                          </w:rPr>
                        </w:pPr>
                        <w:r w:rsidRPr="00CA28DC">
                          <w:rPr>
                            <w:sz w:val="24"/>
                            <w:szCs w:val="24"/>
                            <w:lang w:val="lt-LT"/>
                          </w:rPr>
                          <w:t>-</w:t>
                        </w:r>
                      </w:p>
                    </w:tc>
                    <w:tc>
                      <w:tcPr>
                        <w:tcW w:w="1247" w:type="dxa"/>
                        <w:gridSpan w:val="2"/>
                        <w:tcBorders>
                          <w:top w:val="single" w:sz="4" w:space="0" w:color="auto"/>
                          <w:left w:val="nil"/>
                          <w:bottom w:val="single" w:sz="4" w:space="0" w:color="auto"/>
                          <w:right w:val="single" w:sz="4" w:space="0" w:color="auto"/>
                        </w:tcBorders>
                        <w:vAlign w:val="bottom"/>
                        <w:hideMark/>
                      </w:tcPr>
                      <w:p w14:paraId="11BCC0AA" w14:textId="77777777" w:rsidR="00990C62" w:rsidRPr="00CA28DC" w:rsidRDefault="00990C62">
                        <w:pPr>
                          <w:jc w:val="center"/>
                          <w:rPr>
                            <w:sz w:val="24"/>
                            <w:szCs w:val="24"/>
                            <w:lang w:val="lt-LT"/>
                          </w:rPr>
                        </w:pPr>
                        <w:r w:rsidRPr="00CA28DC">
                          <w:rPr>
                            <w:sz w:val="24"/>
                            <w:szCs w:val="24"/>
                            <w:lang w:val="lt-LT"/>
                          </w:rPr>
                          <w:t>-</w:t>
                        </w:r>
                      </w:p>
                    </w:tc>
                    <w:tc>
                      <w:tcPr>
                        <w:tcW w:w="1439" w:type="dxa"/>
                        <w:tcBorders>
                          <w:top w:val="nil"/>
                          <w:left w:val="single" w:sz="4" w:space="0" w:color="auto"/>
                          <w:bottom w:val="single" w:sz="4" w:space="0" w:color="auto"/>
                          <w:right w:val="single" w:sz="4" w:space="0" w:color="auto"/>
                        </w:tcBorders>
                        <w:noWrap/>
                        <w:vAlign w:val="bottom"/>
                        <w:hideMark/>
                      </w:tcPr>
                      <w:p w14:paraId="1137E8E4" w14:textId="77777777" w:rsidR="00990C62" w:rsidRPr="00CA28DC" w:rsidRDefault="00990C62">
                        <w:pPr>
                          <w:jc w:val="center"/>
                          <w:rPr>
                            <w:sz w:val="24"/>
                            <w:szCs w:val="24"/>
                            <w:lang w:val="lt-LT"/>
                          </w:rPr>
                        </w:pPr>
                        <w:r w:rsidRPr="00CA28DC">
                          <w:rPr>
                            <w:sz w:val="24"/>
                            <w:szCs w:val="24"/>
                            <w:lang w:val="lt-LT"/>
                          </w:rPr>
                          <w:t>-</w:t>
                        </w:r>
                      </w:p>
                    </w:tc>
                    <w:tc>
                      <w:tcPr>
                        <w:tcW w:w="1161" w:type="dxa"/>
                        <w:tcBorders>
                          <w:top w:val="nil"/>
                          <w:left w:val="nil"/>
                          <w:bottom w:val="single" w:sz="4" w:space="0" w:color="auto"/>
                          <w:right w:val="single" w:sz="4" w:space="0" w:color="auto"/>
                        </w:tcBorders>
                        <w:noWrap/>
                        <w:vAlign w:val="bottom"/>
                        <w:hideMark/>
                      </w:tcPr>
                      <w:p w14:paraId="28EE2FF9" w14:textId="77777777" w:rsidR="00990C62" w:rsidRPr="00CA28DC" w:rsidRDefault="00990C62">
                        <w:pPr>
                          <w:jc w:val="center"/>
                          <w:rPr>
                            <w:sz w:val="24"/>
                            <w:szCs w:val="24"/>
                            <w:lang w:val="lt-LT"/>
                          </w:rPr>
                        </w:pPr>
                        <w:r w:rsidRPr="00CA28DC">
                          <w:rPr>
                            <w:sz w:val="24"/>
                            <w:szCs w:val="24"/>
                            <w:lang w:val="lt-LT"/>
                          </w:rPr>
                          <w:t>--</w:t>
                        </w:r>
                      </w:p>
                    </w:tc>
                    <w:tc>
                      <w:tcPr>
                        <w:tcW w:w="931" w:type="dxa"/>
                        <w:tcBorders>
                          <w:top w:val="nil"/>
                          <w:left w:val="nil"/>
                          <w:bottom w:val="single" w:sz="4" w:space="0" w:color="auto"/>
                          <w:right w:val="single" w:sz="4" w:space="0" w:color="auto"/>
                        </w:tcBorders>
                        <w:noWrap/>
                        <w:vAlign w:val="bottom"/>
                        <w:hideMark/>
                      </w:tcPr>
                      <w:p w14:paraId="54B31F53" w14:textId="77777777" w:rsidR="00990C62" w:rsidRPr="00CA28DC" w:rsidRDefault="00990C62">
                        <w:pPr>
                          <w:jc w:val="center"/>
                          <w:rPr>
                            <w:sz w:val="24"/>
                            <w:szCs w:val="24"/>
                            <w:lang w:val="lt-LT"/>
                          </w:rPr>
                        </w:pPr>
                        <w:r w:rsidRPr="00CA28DC">
                          <w:rPr>
                            <w:sz w:val="24"/>
                            <w:szCs w:val="24"/>
                            <w:lang w:val="lt-LT"/>
                          </w:rPr>
                          <w:t>-</w:t>
                        </w:r>
                      </w:p>
                    </w:tc>
                  </w:tr>
                  <w:tr w:rsidR="002C38D9" w:rsidRPr="00CA28DC" w14:paraId="743DF4FA" w14:textId="77777777" w:rsidTr="00F93627">
                    <w:trPr>
                      <w:trHeight w:val="302"/>
                    </w:trPr>
                    <w:tc>
                      <w:tcPr>
                        <w:tcW w:w="554" w:type="dxa"/>
                        <w:tcBorders>
                          <w:top w:val="single" w:sz="4" w:space="0" w:color="000000"/>
                          <w:left w:val="single" w:sz="4" w:space="0" w:color="auto"/>
                          <w:bottom w:val="single" w:sz="4" w:space="0" w:color="auto"/>
                          <w:right w:val="single" w:sz="4" w:space="0" w:color="auto"/>
                        </w:tcBorders>
                        <w:noWrap/>
                        <w:hideMark/>
                      </w:tcPr>
                      <w:p w14:paraId="147F5549" w14:textId="77777777" w:rsidR="00990C62" w:rsidRPr="00CA28DC" w:rsidRDefault="00990C62">
                        <w:pPr>
                          <w:rPr>
                            <w:sz w:val="24"/>
                            <w:szCs w:val="24"/>
                            <w:lang w:val="lt-LT"/>
                          </w:rPr>
                        </w:pPr>
                        <w:r w:rsidRPr="00CA28DC">
                          <w:rPr>
                            <w:sz w:val="24"/>
                            <w:szCs w:val="24"/>
                            <w:lang w:val="lt-LT"/>
                          </w:rPr>
                          <w:t>3.</w:t>
                        </w:r>
                      </w:p>
                    </w:tc>
                    <w:tc>
                      <w:tcPr>
                        <w:tcW w:w="2878" w:type="dxa"/>
                        <w:tcBorders>
                          <w:top w:val="single" w:sz="4" w:space="0" w:color="000000"/>
                          <w:left w:val="nil"/>
                          <w:bottom w:val="single" w:sz="4" w:space="0" w:color="auto"/>
                          <w:right w:val="nil"/>
                        </w:tcBorders>
                        <w:noWrap/>
                        <w:hideMark/>
                      </w:tcPr>
                      <w:p w14:paraId="73F77D0D" w14:textId="77777777" w:rsidR="00990C62" w:rsidRPr="00CA28DC" w:rsidRDefault="00990C62">
                        <w:pPr>
                          <w:rPr>
                            <w:sz w:val="24"/>
                            <w:szCs w:val="24"/>
                            <w:lang w:val="lt-LT"/>
                          </w:rPr>
                        </w:pPr>
                        <w:r w:rsidRPr="00CA28DC">
                          <w:rPr>
                            <w:sz w:val="24"/>
                            <w:szCs w:val="24"/>
                            <w:lang w:val="lt-LT"/>
                          </w:rPr>
                          <w:t>REZULTATAS</w:t>
                        </w:r>
                      </w:p>
                    </w:tc>
                    <w:tc>
                      <w:tcPr>
                        <w:tcW w:w="1233" w:type="dxa"/>
                        <w:tcBorders>
                          <w:top w:val="nil"/>
                          <w:left w:val="single" w:sz="4" w:space="0" w:color="auto"/>
                          <w:bottom w:val="single" w:sz="4" w:space="0" w:color="auto"/>
                          <w:right w:val="single" w:sz="4" w:space="0" w:color="auto"/>
                        </w:tcBorders>
                        <w:noWrap/>
                        <w:vAlign w:val="bottom"/>
                        <w:hideMark/>
                      </w:tcPr>
                      <w:p w14:paraId="78854A04" w14:textId="77777777" w:rsidR="00990C62" w:rsidRPr="00CA28DC" w:rsidRDefault="00990C62">
                        <w:pPr>
                          <w:jc w:val="right"/>
                          <w:rPr>
                            <w:b/>
                            <w:bCs/>
                            <w:sz w:val="24"/>
                            <w:szCs w:val="24"/>
                            <w:lang w:val="lt-LT"/>
                          </w:rPr>
                        </w:pPr>
                        <w:r w:rsidRPr="00CA28DC">
                          <w:rPr>
                            <w:b/>
                            <w:bCs/>
                            <w:sz w:val="24"/>
                            <w:szCs w:val="24"/>
                            <w:lang w:val="lt-LT"/>
                          </w:rPr>
                          <w:t>47911</w:t>
                        </w:r>
                      </w:p>
                    </w:tc>
                    <w:tc>
                      <w:tcPr>
                        <w:tcW w:w="1247" w:type="dxa"/>
                        <w:gridSpan w:val="2"/>
                        <w:tcBorders>
                          <w:top w:val="single" w:sz="4" w:space="0" w:color="auto"/>
                          <w:left w:val="nil"/>
                          <w:bottom w:val="single" w:sz="4" w:space="0" w:color="auto"/>
                          <w:right w:val="single" w:sz="4" w:space="0" w:color="auto"/>
                        </w:tcBorders>
                        <w:vAlign w:val="bottom"/>
                        <w:hideMark/>
                      </w:tcPr>
                      <w:p w14:paraId="2C7563AE" w14:textId="77777777" w:rsidR="00990C62" w:rsidRPr="00CA28DC" w:rsidRDefault="00990C62">
                        <w:pPr>
                          <w:jc w:val="center"/>
                          <w:rPr>
                            <w:b/>
                            <w:bCs/>
                            <w:sz w:val="24"/>
                            <w:szCs w:val="24"/>
                            <w:lang w:val="lt-LT"/>
                          </w:rPr>
                        </w:pPr>
                        <w:r w:rsidRPr="00CA28DC">
                          <w:rPr>
                            <w:b/>
                            <w:bCs/>
                            <w:sz w:val="24"/>
                            <w:szCs w:val="24"/>
                            <w:lang w:val="lt-LT"/>
                          </w:rPr>
                          <w:t>33457</w:t>
                        </w:r>
                      </w:p>
                    </w:tc>
                    <w:tc>
                      <w:tcPr>
                        <w:tcW w:w="1439" w:type="dxa"/>
                        <w:tcBorders>
                          <w:top w:val="nil"/>
                          <w:left w:val="single" w:sz="4" w:space="0" w:color="auto"/>
                          <w:bottom w:val="single" w:sz="4" w:space="0" w:color="auto"/>
                          <w:right w:val="single" w:sz="4" w:space="0" w:color="auto"/>
                        </w:tcBorders>
                        <w:noWrap/>
                        <w:vAlign w:val="bottom"/>
                        <w:hideMark/>
                      </w:tcPr>
                      <w:p w14:paraId="2E7DD72A" w14:textId="77777777" w:rsidR="00990C62" w:rsidRPr="00CA28DC" w:rsidRDefault="00990C62">
                        <w:pPr>
                          <w:jc w:val="center"/>
                          <w:rPr>
                            <w:b/>
                            <w:bCs/>
                            <w:sz w:val="24"/>
                            <w:szCs w:val="24"/>
                            <w:lang w:val="lt-LT"/>
                          </w:rPr>
                        </w:pPr>
                        <w:r w:rsidRPr="00CA28DC">
                          <w:rPr>
                            <w:b/>
                            <w:bCs/>
                            <w:sz w:val="24"/>
                            <w:szCs w:val="24"/>
                            <w:lang w:val="lt-LT"/>
                          </w:rPr>
                          <w:t>(20300)</w:t>
                        </w:r>
                      </w:p>
                    </w:tc>
                    <w:tc>
                      <w:tcPr>
                        <w:tcW w:w="1161" w:type="dxa"/>
                        <w:tcBorders>
                          <w:top w:val="nil"/>
                          <w:left w:val="nil"/>
                          <w:bottom w:val="single" w:sz="4" w:space="0" w:color="auto"/>
                          <w:right w:val="single" w:sz="4" w:space="0" w:color="auto"/>
                        </w:tcBorders>
                        <w:noWrap/>
                        <w:vAlign w:val="bottom"/>
                        <w:hideMark/>
                      </w:tcPr>
                      <w:p w14:paraId="2CB42EA4" w14:textId="77777777" w:rsidR="00990C62" w:rsidRPr="00CA28DC" w:rsidRDefault="00990C62">
                        <w:pPr>
                          <w:jc w:val="center"/>
                          <w:rPr>
                            <w:b/>
                            <w:bCs/>
                            <w:sz w:val="24"/>
                            <w:szCs w:val="24"/>
                            <w:lang w:val="lt-LT"/>
                          </w:rPr>
                        </w:pPr>
                        <w:r w:rsidRPr="00CA28DC">
                          <w:rPr>
                            <w:b/>
                            <w:bCs/>
                            <w:sz w:val="24"/>
                            <w:szCs w:val="24"/>
                            <w:lang w:val="lt-LT"/>
                          </w:rPr>
                          <w:t>(5778)</w:t>
                        </w:r>
                      </w:p>
                    </w:tc>
                    <w:tc>
                      <w:tcPr>
                        <w:tcW w:w="931" w:type="dxa"/>
                        <w:tcBorders>
                          <w:top w:val="nil"/>
                          <w:left w:val="nil"/>
                          <w:bottom w:val="single" w:sz="4" w:space="0" w:color="auto"/>
                          <w:right w:val="single" w:sz="4" w:space="0" w:color="auto"/>
                        </w:tcBorders>
                        <w:noWrap/>
                        <w:vAlign w:val="bottom"/>
                        <w:hideMark/>
                      </w:tcPr>
                      <w:p w14:paraId="176E0EE4" w14:textId="77777777" w:rsidR="00990C62" w:rsidRPr="00CA28DC" w:rsidRDefault="00990C62">
                        <w:pPr>
                          <w:jc w:val="right"/>
                          <w:rPr>
                            <w:b/>
                            <w:bCs/>
                            <w:sz w:val="24"/>
                            <w:szCs w:val="24"/>
                            <w:lang w:val="lt-LT"/>
                          </w:rPr>
                        </w:pPr>
                        <w:r w:rsidRPr="00CA28DC">
                          <w:rPr>
                            <w:b/>
                            <w:bCs/>
                            <w:sz w:val="24"/>
                            <w:szCs w:val="24"/>
                            <w:lang w:val="lt-LT"/>
                          </w:rPr>
                          <w:t>55290</w:t>
                        </w:r>
                      </w:p>
                    </w:tc>
                  </w:tr>
                </w:tbl>
                <w:p w14:paraId="6462F676" w14:textId="10536108" w:rsidR="00990C62" w:rsidRPr="00CA28DC" w:rsidRDefault="002C38D9" w:rsidP="002C38D9">
                  <w:pPr>
                    <w:rPr>
                      <w:sz w:val="24"/>
                      <w:szCs w:val="24"/>
                      <w:lang w:val="lt-LT"/>
                    </w:rPr>
                  </w:pPr>
                  <w:r w:rsidRPr="00CA28DC">
                    <w:rPr>
                      <w:sz w:val="24"/>
                      <w:szCs w:val="24"/>
                      <w:lang w:val="lt-LT"/>
                    </w:rPr>
                    <w:t xml:space="preserve">     </w:t>
                  </w:r>
                  <w:r w:rsidR="00990C62" w:rsidRPr="00CA28DC">
                    <w:rPr>
                      <w:sz w:val="24"/>
                      <w:szCs w:val="24"/>
                      <w:lang w:val="lt-LT"/>
                    </w:rPr>
                    <w:t xml:space="preserve">     </w:t>
                  </w:r>
                </w:p>
              </w:tc>
            </w:tr>
            <w:tr w:rsidR="002C38D9" w:rsidRPr="00CA28DC" w14:paraId="0803E231" w14:textId="77777777" w:rsidTr="00F93627">
              <w:trPr>
                <w:trHeight w:val="282"/>
              </w:trPr>
              <w:tc>
                <w:tcPr>
                  <w:tcW w:w="9559" w:type="dxa"/>
                  <w:vMerge/>
                  <w:tcBorders>
                    <w:top w:val="nil"/>
                    <w:left w:val="nil"/>
                    <w:bottom w:val="nil"/>
                    <w:right w:val="single" w:sz="4" w:space="0" w:color="auto"/>
                  </w:tcBorders>
                  <w:vAlign w:val="center"/>
                  <w:hideMark/>
                </w:tcPr>
                <w:p w14:paraId="6CD6D059" w14:textId="77777777" w:rsidR="00990C62" w:rsidRPr="00CA28DC" w:rsidRDefault="00990C62">
                  <w:pPr>
                    <w:rPr>
                      <w:b/>
                      <w:bCs/>
                      <w:sz w:val="24"/>
                      <w:szCs w:val="24"/>
                      <w:lang w:val="lt-LT"/>
                    </w:rPr>
                  </w:pPr>
                </w:p>
              </w:tc>
            </w:tr>
            <w:tr w:rsidR="002C38D9" w:rsidRPr="00CA28DC" w14:paraId="335D95A7" w14:textId="77777777" w:rsidTr="00F93627">
              <w:trPr>
                <w:trHeight w:val="282"/>
              </w:trPr>
              <w:tc>
                <w:tcPr>
                  <w:tcW w:w="9559" w:type="dxa"/>
                  <w:vMerge/>
                  <w:tcBorders>
                    <w:top w:val="nil"/>
                    <w:left w:val="nil"/>
                    <w:bottom w:val="nil"/>
                    <w:right w:val="single" w:sz="4" w:space="0" w:color="auto"/>
                  </w:tcBorders>
                  <w:vAlign w:val="center"/>
                  <w:hideMark/>
                </w:tcPr>
                <w:p w14:paraId="18092F05" w14:textId="77777777" w:rsidR="00990C62" w:rsidRPr="00CA28DC" w:rsidRDefault="00990C62">
                  <w:pPr>
                    <w:rPr>
                      <w:b/>
                      <w:bCs/>
                      <w:sz w:val="24"/>
                      <w:szCs w:val="24"/>
                      <w:lang w:val="lt-LT"/>
                    </w:rPr>
                  </w:pPr>
                </w:p>
              </w:tc>
            </w:tr>
            <w:tr w:rsidR="002C38D9" w:rsidRPr="00CA28DC" w14:paraId="2DC02859" w14:textId="77777777" w:rsidTr="00F93627">
              <w:trPr>
                <w:trHeight w:val="282"/>
              </w:trPr>
              <w:tc>
                <w:tcPr>
                  <w:tcW w:w="9559" w:type="dxa"/>
                  <w:vMerge/>
                  <w:tcBorders>
                    <w:top w:val="nil"/>
                    <w:left w:val="nil"/>
                    <w:bottom w:val="nil"/>
                    <w:right w:val="single" w:sz="4" w:space="0" w:color="auto"/>
                  </w:tcBorders>
                  <w:vAlign w:val="center"/>
                  <w:hideMark/>
                </w:tcPr>
                <w:p w14:paraId="28430268" w14:textId="77777777" w:rsidR="00990C62" w:rsidRPr="00CA28DC" w:rsidRDefault="00990C62">
                  <w:pPr>
                    <w:rPr>
                      <w:b/>
                      <w:bCs/>
                      <w:sz w:val="24"/>
                      <w:szCs w:val="24"/>
                      <w:lang w:val="lt-LT"/>
                    </w:rPr>
                  </w:pPr>
                </w:p>
              </w:tc>
            </w:tr>
            <w:tr w:rsidR="002C38D9" w:rsidRPr="00CA28DC" w14:paraId="76639592" w14:textId="77777777" w:rsidTr="00F93627">
              <w:trPr>
                <w:trHeight w:val="282"/>
              </w:trPr>
              <w:tc>
                <w:tcPr>
                  <w:tcW w:w="9559" w:type="dxa"/>
                  <w:vMerge/>
                  <w:tcBorders>
                    <w:top w:val="nil"/>
                    <w:left w:val="nil"/>
                    <w:bottom w:val="nil"/>
                    <w:right w:val="single" w:sz="4" w:space="0" w:color="auto"/>
                  </w:tcBorders>
                  <w:vAlign w:val="center"/>
                  <w:hideMark/>
                </w:tcPr>
                <w:p w14:paraId="3FD8ACA2" w14:textId="77777777" w:rsidR="00990C62" w:rsidRPr="00CA28DC" w:rsidRDefault="00990C62">
                  <w:pPr>
                    <w:rPr>
                      <w:b/>
                      <w:bCs/>
                      <w:sz w:val="24"/>
                      <w:szCs w:val="24"/>
                      <w:lang w:val="lt-LT"/>
                    </w:rPr>
                  </w:pPr>
                </w:p>
              </w:tc>
            </w:tr>
            <w:tr w:rsidR="002C38D9" w:rsidRPr="00CA28DC" w14:paraId="45A6F54F" w14:textId="77777777" w:rsidTr="00F93627">
              <w:trPr>
                <w:trHeight w:val="282"/>
              </w:trPr>
              <w:tc>
                <w:tcPr>
                  <w:tcW w:w="9559" w:type="dxa"/>
                  <w:vMerge/>
                  <w:tcBorders>
                    <w:top w:val="nil"/>
                    <w:left w:val="nil"/>
                    <w:bottom w:val="nil"/>
                    <w:right w:val="single" w:sz="4" w:space="0" w:color="auto"/>
                  </w:tcBorders>
                  <w:vAlign w:val="center"/>
                  <w:hideMark/>
                </w:tcPr>
                <w:p w14:paraId="656DF042" w14:textId="77777777" w:rsidR="00990C62" w:rsidRPr="00CA28DC" w:rsidRDefault="00990C62">
                  <w:pPr>
                    <w:rPr>
                      <w:b/>
                      <w:bCs/>
                      <w:sz w:val="24"/>
                      <w:szCs w:val="24"/>
                      <w:lang w:val="lt-LT"/>
                    </w:rPr>
                  </w:pPr>
                </w:p>
              </w:tc>
            </w:tr>
            <w:tr w:rsidR="002C38D9" w:rsidRPr="00CA28DC" w14:paraId="5AE8F009" w14:textId="77777777" w:rsidTr="00F93627">
              <w:trPr>
                <w:trHeight w:val="282"/>
              </w:trPr>
              <w:tc>
                <w:tcPr>
                  <w:tcW w:w="9559" w:type="dxa"/>
                  <w:vMerge/>
                  <w:tcBorders>
                    <w:top w:val="nil"/>
                    <w:left w:val="nil"/>
                    <w:bottom w:val="nil"/>
                    <w:right w:val="single" w:sz="4" w:space="0" w:color="auto"/>
                  </w:tcBorders>
                  <w:vAlign w:val="center"/>
                  <w:hideMark/>
                </w:tcPr>
                <w:p w14:paraId="311DAFAB" w14:textId="77777777" w:rsidR="00990C62" w:rsidRPr="00CA28DC" w:rsidRDefault="00990C62">
                  <w:pPr>
                    <w:rPr>
                      <w:b/>
                      <w:bCs/>
                      <w:sz w:val="24"/>
                      <w:szCs w:val="24"/>
                      <w:lang w:val="lt-LT"/>
                    </w:rPr>
                  </w:pPr>
                </w:p>
              </w:tc>
            </w:tr>
            <w:tr w:rsidR="002C38D9" w:rsidRPr="00CA28DC" w14:paraId="78BFAE39" w14:textId="77777777" w:rsidTr="00F93627">
              <w:trPr>
                <w:trHeight w:val="282"/>
              </w:trPr>
              <w:tc>
                <w:tcPr>
                  <w:tcW w:w="9559" w:type="dxa"/>
                  <w:vMerge/>
                  <w:tcBorders>
                    <w:top w:val="nil"/>
                    <w:left w:val="nil"/>
                    <w:bottom w:val="nil"/>
                    <w:right w:val="single" w:sz="4" w:space="0" w:color="auto"/>
                  </w:tcBorders>
                  <w:vAlign w:val="center"/>
                  <w:hideMark/>
                </w:tcPr>
                <w:p w14:paraId="354D7CF6" w14:textId="77777777" w:rsidR="00990C62" w:rsidRPr="00CA28DC" w:rsidRDefault="00990C62">
                  <w:pPr>
                    <w:rPr>
                      <w:b/>
                      <w:bCs/>
                      <w:sz w:val="24"/>
                      <w:szCs w:val="24"/>
                      <w:lang w:val="lt-LT"/>
                    </w:rPr>
                  </w:pPr>
                </w:p>
              </w:tc>
            </w:tr>
            <w:tr w:rsidR="002C38D9" w:rsidRPr="00CA28DC" w14:paraId="480A2140" w14:textId="77777777" w:rsidTr="00F93627">
              <w:trPr>
                <w:trHeight w:val="282"/>
              </w:trPr>
              <w:tc>
                <w:tcPr>
                  <w:tcW w:w="9559" w:type="dxa"/>
                  <w:vMerge/>
                  <w:tcBorders>
                    <w:top w:val="nil"/>
                    <w:left w:val="nil"/>
                    <w:bottom w:val="nil"/>
                    <w:right w:val="single" w:sz="4" w:space="0" w:color="auto"/>
                  </w:tcBorders>
                  <w:vAlign w:val="center"/>
                  <w:hideMark/>
                </w:tcPr>
                <w:p w14:paraId="6C8BBE22" w14:textId="77777777" w:rsidR="00990C62" w:rsidRPr="00CA28DC" w:rsidRDefault="00990C62">
                  <w:pPr>
                    <w:rPr>
                      <w:b/>
                      <w:bCs/>
                      <w:sz w:val="24"/>
                      <w:szCs w:val="24"/>
                      <w:lang w:val="lt-LT"/>
                    </w:rPr>
                  </w:pPr>
                </w:p>
              </w:tc>
            </w:tr>
            <w:tr w:rsidR="002C38D9" w:rsidRPr="00CA28DC" w14:paraId="7231244C" w14:textId="77777777" w:rsidTr="00F93627">
              <w:trPr>
                <w:trHeight w:val="282"/>
              </w:trPr>
              <w:tc>
                <w:tcPr>
                  <w:tcW w:w="9559" w:type="dxa"/>
                  <w:vMerge/>
                  <w:tcBorders>
                    <w:top w:val="nil"/>
                    <w:left w:val="nil"/>
                    <w:bottom w:val="nil"/>
                    <w:right w:val="single" w:sz="4" w:space="0" w:color="auto"/>
                  </w:tcBorders>
                  <w:vAlign w:val="center"/>
                  <w:hideMark/>
                </w:tcPr>
                <w:p w14:paraId="47AA7AAD" w14:textId="77777777" w:rsidR="00990C62" w:rsidRPr="00CA28DC" w:rsidRDefault="00990C62">
                  <w:pPr>
                    <w:rPr>
                      <w:b/>
                      <w:bCs/>
                      <w:sz w:val="24"/>
                      <w:szCs w:val="24"/>
                      <w:lang w:val="lt-LT"/>
                    </w:rPr>
                  </w:pPr>
                </w:p>
              </w:tc>
            </w:tr>
            <w:tr w:rsidR="002C38D9" w:rsidRPr="00CA28DC" w14:paraId="5D8CFC30" w14:textId="77777777" w:rsidTr="00F93627">
              <w:trPr>
                <w:trHeight w:val="282"/>
              </w:trPr>
              <w:tc>
                <w:tcPr>
                  <w:tcW w:w="9559" w:type="dxa"/>
                  <w:vMerge/>
                  <w:tcBorders>
                    <w:top w:val="nil"/>
                    <w:left w:val="nil"/>
                    <w:bottom w:val="nil"/>
                    <w:right w:val="single" w:sz="4" w:space="0" w:color="auto"/>
                  </w:tcBorders>
                  <w:vAlign w:val="center"/>
                  <w:hideMark/>
                </w:tcPr>
                <w:p w14:paraId="624A7590" w14:textId="77777777" w:rsidR="00990C62" w:rsidRPr="00CA28DC" w:rsidRDefault="00990C62">
                  <w:pPr>
                    <w:rPr>
                      <w:b/>
                      <w:bCs/>
                      <w:sz w:val="24"/>
                      <w:szCs w:val="24"/>
                      <w:lang w:val="lt-LT"/>
                    </w:rPr>
                  </w:pPr>
                </w:p>
              </w:tc>
            </w:tr>
            <w:tr w:rsidR="002C38D9" w:rsidRPr="00CA28DC" w14:paraId="7B011678" w14:textId="77777777" w:rsidTr="00F93627">
              <w:trPr>
                <w:trHeight w:val="282"/>
              </w:trPr>
              <w:tc>
                <w:tcPr>
                  <w:tcW w:w="9559" w:type="dxa"/>
                  <w:vMerge/>
                  <w:tcBorders>
                    <w:top w:val="nil"/>
                    <w:left w:val="nil"/>
                    <w:bottom w:val="nil"/>
                    <w:right w:val="single" w:sz="4" w:space="0" w:color="auto"/>
                  </w:tcBorders>
                  <w:vAlign w:val="center"/>
                  <w:hideMark/>
                </w:tcPr>
                <w:p w14:paraId="04B3A657" w14:textId="77777777" w:rsidR="00990C62" w:rsidRPr="00CA28DC" w:rsidRDefault="00990C62">
                  <w:pPr>
                    <w:rPr>
                      <w:b/>
                      <w:bCs/>
                      <w:sz w:val="24"/>
                      <w:szCs w:val="24"/>
                      <w:lang w:val="lt-LT"/>
                    </w:rPr>
                  </w:pPr>
                </w:p>
              </w:tc>
            </w:tr>
            <w:tr w:rsidR="002C38D9" w:rsidRPr="00CA28DC" w14:paraId="564EA0E4" w14:textId="77777777" w:rsidTr="00F93627">
              <w:trPr>
                <w:trHeight w:val="282"/>
              </w:trPr>
              <w:tc>
                <w:tcPr>
                  <w:tcW w:w="9559" w:type="dxa"/>
                  <w:vMerge/>
                  <w:tcBorders>
                    <w:top w:val="nil"/>
                    <w:left w:val="nil"/>
                    <w:bottom w:val="nil"/>
                    <w:right w:val="single" w:sz="4" w:space="0" w:color="auto"/>
                  </w:tcBorders>
                  <w:vAlign w:val="center"/>
                  <w:hideMark/>
                </w:tcPr>
                <w:p w14:paraId="73C7E2A4" w14:textId="77777777" w:rsidR="00990C62" w:rsidRPr="00CA28DC" w:rsidRDefault="00990C62">
                  <w:pPr>
                    <w:rPr>
                      <w:b/>
                      <w:bCs/>
                      <w:sz w:val="24"/>
                      <w:szCs w:val="24"/>
                      <w:lang w:val="lt-LT"/>
                    </w:rPr>
                  </w:pPr>
                </w:p>
              </w:tc>
            </w:tr>
            <w:tr w:rsidR="002C38D9" w:rsidRPr="00CA28DC" w14:paraId="28D36195" w14:textId="77777777" w:rsidTr="00F93627">
              <w:trPr>
                <w:trHeight w:val="282"/>
              </w:trPr>
              <w:tc>
                <w:tcPr>
                  <w:tcW w:w="9559" w:type="dxa"/>
                  <w:vMerge/>
                  <w:tcBorders>
                    <w:top w:val="nil"/>
                    <w:left w:val="nil"/>
                    <w:bottom w:val="nil"/>
                    <w:right w:val="single" w:sz="4" w:space="0" w:color="auto"/>
                  </w:tcBorders>
                  <w:vAlign w:val="center"/>
                  <w:hideMark/>
                </w:tcPr>
                <w:p w14:paraId="217F39A6" w14:textId="77777777" w:rsidR="00990C62" w:rsidRPr="00CA28DC" w:rsidRDefault="00990C62">
                  <w:pPr>
                    <w:rPr>
                      <w:b/>
                      <w:bCs/>
                      <w:sz w:val="24"/>
                      <w:szCs w:val="24"/>
                      <w:lang w:val="lt-LT"/>
                    </w:rPr>
                  </w:pPr>
                </w:p>
              </w:tc>
            </w:tr>
            <w:tr w:rsidR="002C38D9" w:rsidRPr="00CA28DC" w14:paraId="2AB743B7" w14:textId="77777777" w:rsidTr="00F93627">
              <w:trPr>
                <w:trHeight w:val="282"/>
              </w:trPr>
              <w:tc>
                <w:tcPr>
                  <w:tcW w:w="9559" w:type="dxa"/>
                  <w:vMerge/>
                  <w:tcBorders>
                    <w:top w:val="nil"/>
                    <w:left w:val="nil"/>
                    <w:bottom w:val="nil"/>
                    <w:right w:val="single" w:sz="4" w:space="0" w:color="auto"/>
                  </w:tcBorders>
                  <w:vAlign w:val="center"/>
                  <w:hideMark/>
                </w:tcPr>
                <w:p w14:paraId="50536785" w14:textId="77777777" w:rsidR="00990C62" w:rsidRPr="00CA28DC" w:rsidRDefault="00990C62">
                  <w:pPr>
                    <w:rPr>
                      <w:b/>
                      <w:bCs/>
                      <w:sz w:val="24"/>
                      <w:szCs w:val="24"/>
                      <w:lang w:val="lt-LT"/>
                    </w:rPr>
                  </w:pPr>
                </w:p>
              </w:tc>
            </w:tr>
          </w:tbl>
          <w:p w14:paraId="53AD9A9F" w14:textId="77777777" w:rsidR="00990C62" w:rsidRPr="00CA28DC" w:rsidRDefault="00990C62">
            <w:pPr>
              <w:spacing w:line="276" w:lineRule="auto"/>
              <w:rPr>
                <w:sz w:val="24"/>
                <w:szCs w:val="24"/>
                <w:lang w:val="lt-LT" w:eastAsia="en-US"/>
              </w:rPr>
            </w:pPr>
          </w:p>
        </w:tc>
        <w:tc>
          <w:tcPr>
            <w:tcW w:w="1680" w:type="dxa"/>
            <w:noWrap/>
            <w:vAlign w:val="bottom"/>
            <w:hideMark/>
          </w:tcPr>
          <w:p w14:paraId="4611A91E" w14:textId="77777777" w:rsidR="00990C62" w:rsidRPr="00CA28DC" w:rsidRDefault="00990C62">
            <w:pPr>
              <w:spacing w:line="276" w:lineRule="auto"/>
              <w:rPr>
                <w:sz w:val="24"/>
                <w:szCs w:val="24"/>
                <w:lang w:val="lt-LT" w:eastAsia="en-US"/>
              </w:rPr>
            </w:pPr>
          </w:p>
        </w:tc>
        <w:tc>
          <w:tcPr>
            <w:tcW w:w="1030" w:type="dxa"/>
            <w:noWrap/>
            <w:vAlign w:val="bottom"/>
            <w:hideMark/>
          </w:tcPr>
          <w:p w14:paraId="2E91B832" w14:textId="77777777" w:rsidR="00990C62" w:rsidRPr="00CA28DC" w:rsidRDefault="00990C62">
            <w:pPr>
              <w:spacing w:line="276" w:lineRule="auto"/>
              <w:rPr>
                <w:sz w:val="24"/>
                <w:szCs w:val="24"/>
                <w:lang w:val="lt-LT" w:eastAsia="en-US"/>
              </w:rPr>
            </w:pPr>
          </w:p>
        </w:tc>
        <w:tc>
          <w:tcPr>
            <w:tcW w:w="1362" w:type="dxa"/>
            <w:noWrap/>
            <w:vAlign w:val="bottom"/>
            <w:hideMark/>
          </w:tcPr>
          <w:p w14:paraId="275416E7" w14:textId="77777777" w:rsidR="00990C62" w:rsidRPr="00CA28DC" w:rsidRDefault="00990C62">
            <w:pPr>
              <w:spacing w:line="276" w:lineRule="auto"/>
              <w:rPr>
                <w:sz w:val="24"/>
                <w:szCs w:val="24"/>
                <w:lang w:val="lt-LT" w:eastAsia="en-US"/>
              </w:rPr>
            </w:pPr>
          </w:p>
        </w:tc>
        <w:tc>
          <w:tcPr>
            <w:tcW w:w="1084" w:type="dxa"/>
            <w:noWrap/>
            <w:vAlign w:val="bottom"/>
            <w:hideMark/>
          </w:tcPr>
          <w:p w14:paraId="5FFF735C" w14:textId="77777777" w:rsidR="00990C62" w:rsidRPr="00CA28DC" w:rsidRDefault="00990C62">
            <w:pPr>
              <w:spacing w:line="276" w:lineRule="auto"/>
              <w:rPr>
                <w:sz w:val="24"/>
                <w:szCs w:val="24"/>
                <w:lang w:val="lt-LT" w:eastAsia="en-US"/>
              </w:rPr>
            </w:pPr>
          </w:p>
        </w:tc>
        <w:tc>
          <w:tcPr>
            <w:tcW w:w="988" w:type="dxa"/>
            <w:noWrap/>
            <w:vAlign w:val="bottom"/>
            <w:hideMark/>
          </w:tcPr>
          <w:p w14:paraId="65F96949" w14:textId="77777777" w:rsidR="00990C62" w:rsidRPr="00CA28DC" w:rsidRDefault="00990C62">
            <w:pPr>
              <w:spacing w:line="276" w:lineRule="auto"/>
              <w:rPr>
                <w:sz w:val="24"/>
                <w:szCs w:val="24"/>
                <w:lang w:val="lt-LT" w:eastAsia="en-US"/>
              </w:rPr>
            </w:pPr>
          </w:p>
        </w:tc>
        <w:tc>
          <w:tcPr>
            <w:tcW w:w="1110" w:type="dxa"/>
            <w:noWrap/>
            <w:vAlign w:val="bottom"/>
            <w:hideMark/>
          </w:tcPr>
          <w:p w14:paraId="2C48FFB2" w14:textId="77777777" w:rsidR="00990C62" w:rsidRPr="00CA28DC" w:rsidRDefault="00990C62">
            <w:pPr>
              <w:spacing w:line="276" w:lineRule="auto"/>
              <w:rPr>
                <w:sz w:val="24"/>
                <w:szCs w:val="24"/>
                <w:lang w:val="lt-LT" w:eastAsia="en-US"/>
              </w:rPr>
            </w:pPr>
          </w:p>
        </w:tc>
        <w:tc>
          <w:tcPr>
            <w:tcW w:w="855" w:type="dxa"/>
            <w:noWrap/>
            <w:vAlign w:val="bottom"/>
            <w:hideMark/>
          </w:tcPr>
          <w:p w14:paraId="078611E8" w14:textId="77777777" w:rsidR="00990C62" w:rsidRPr="00CA28DC" w:rsidRDefault="00990C62">
            <w:pPr>
              <w:spacing w:line="276" w:lineRule="auto"/>
              <w:rPr>
                <w:sz w:val="24"/>
                <w:szCs w:val="24"/>
                <w:lang w:val="lt-LT" w:eastAsia="en-US"/>
              </w:rPr>
            </w:pPr>
          </w:p>
        </w:tc>
        <w:tc>
          <w:tcPr>
            <w:tcW w:w="735" w:type="dxa"/>
            <w:noWrap/>
            <w:vAlign w:val="bottom"/>
            <w:hideMark/>
          </w:tcPr>
          <w:p w14:paraId="3D699446" w14:textId="77777777" w:rsidR="00990C62" w:rsidRPr="00CA28DC" w:rsidRDefault="00990C62">
            <w:pPr>
              <w:spacing w:line="276" w:lineRule="auto"/>
              <w:rPr>
                <w:sz w:val="24"/>
                <w:szCs w:val="24"/>
                <w:lang w:val="lt-LT" w:eastAsia="en-US"/>
              </w:rPr>
            </w:pPr>
          </w:p>
        </w:tc>
        <w:tc>
          <w:tcPr>
            <w:tcW w:w="3915" w:type="dxa"/>
            <w:noWrap/>
            <w:vAlign w:val="bottom"/>
            <w:hideMark/>
          </w:tcPr>
          <w:p w14:paraId="166A149A" w14:textId="77777777" w:rsidR="00990C62" w:rsidRPr="00CA28DC" w:rsidRDefault="00990C62">
            <w:pPr>
              <w:spacing w:line="276" w:lineRule="auto"/>
              <w:rPr>
                <w:sz w:val="24"/>
                <w:szCs w:val="24"/>
                <w:lang w:val="lt-LT" w:eastAsia="en-US"/>
              </w:rPr>
            </w:pPr>
          </w:p>
        </w:tc>
        <w:tc>
          <w:tcPr>
            <w:tcW w:w="995" w:type="dxa"/>
            <w:noWrap/>
            <w:vAlign w:val="bottom"/>
            <w:hideMark/>
          </w:tcPr>
          <w:p w14:paraId="7EA5233F" w14:textId="77777777" w:rsidR="00990C62" w:rsidRPr="00CA28DC" w:rsidRDefault="00990C62">
            <w:pPr>
              <w:spacing w:line="276" w:lineRule="auto"/>
              <w:rPr>
                <w:sz w:val="24"/>
                <w:szCs w:val="24"/>
                <w:lang w:val="lt-LT" w:eastAsia="en-US"/>
              </w:rPr>
            </w:pPr>
          </w:p>
        </w:tc>
      </w:tr>
    </w:tbl>
    <w:p w14:paraId="7C00D8ED" w14:textId="77777777" w:rsidR="002C38D9" w:rsidRPr="00CA28DC" w:rsidRDefault="002C38D9" w:rsidP="002C38D9">
      <w:pPr>
        <w:rPr>
          <w:sz w:val="24"/>
          <w:szCs w:val="24"/>
          <w:lang w:val="lt-LT"/>
        </w:rPr>
      </w:pPr>
    </w:p>
    <w:tbl>
      <w:tblPr>
        <w:tblW w:w="6431" w:type="dxa"/>
        <w:tblInd w:w="3" w:type="dxa"/>
        <w:tblLayout w:type="fixed"/>
        <w:tblLook w:val="04A0" w:firstRow="1" w:lastRow="0" w:firstColumn="1" w:lastColumn="0" w:noHBand="0" w:noVBand="1"/>
      </w:tblPr>
      <w:tblGrid>
        <w:gridCol w:w="635"/>
        <w:gridCol w:w="4096"/>
        <w:gridCol w:w="1700"/>
      </w:tblGrid>
      <w:tr w:rsidR="002C38D9" w:rsidRPr="00CA28DC" w14:paraId="5A78F9B9" w14:textId="77777777" w:rsidTr="00186D20">
        <w:trPr>
          <w:trHeight w:val="314"/>
        </w:trPr>
        <w:tc>
          <w:tcPr>
            <w:tcW w:w="635" w:type="dxa"/>
            <w:tcBorders>
              <w:top w:val="single" w:sz="8" w:space="0" w:color="auto"/>
              <w:left w:val="single" w:sz="8" w:space="0" w:color="auto"/>
              <w:bottom w:val="single" w:sz="4" w:space="0" w:color="auto"/>
              <w:right w:val="single" w:sz="4" w:space="0" w:color="auto"/>
            </w:tcBorders>
            <w:noWrap/>
            <w:vAlign w:val="center"/>
            <w:hideMark/>
          </w:tcPr>
          <w:p w14:paraId="51A5FC69" w14:textId="77777777" w:rsidR="002C38D9" w:rsidRPr="00CA28DC" w:rsidRDefault="002C38D9" w:rsidP="00186D20">
            <w:pPr>
              <w:jc w:val="both"/>
              <w:rPr>
                <w:sz w:val="24"/>
                <w:szCs w:val="24"/>
                <w:lang w:val="lt-LT"/>
              </w:rPr>
            </w:pPr>
            <w:r w:rsidRPr="00CA28DC">
              <w:rPr>
                <w:sz w:val="24"/>
                <w:szCs w:val="24"/>
                <w:lang w:val="lt-LT"/>
              </w:rPr>
              <w:t xml:space="preserve">1.     </w:t>
            </w:r>
          </w:p>
        </w:tc>
        <w:tc>
          <w:tcPr>
            <w:tcW w:w="4096" w:type="dxa"/>
            <w:tcBorders>
              <w:top w:val="single" w:sz="8" w:space="0" w:color="auto"/>
              <w:left w:val="nil"/>
              <w:bottom w:val="single" w:sz="4" w:space="0" w:color="auto"/>
              <w:right w:val="single" w:sz="4" w:space="0" w:color="auto"/>
            </w:tcBorders>
            <w:noWrap/>
            <w:vAlign w:val="bottom"/>
            <w:hideMark/>
          </w:tcPr>
          <w:p w14:paraId="67D12FB1" w14:textId="77777777" w:rsidR="002C38D9" w:rsidRPr="00CA28DC" w:rsidRDefault="002C38D9" w:rsidP="00186D20">
            <w:pPr>
              <w:rPr>
                <w:sz w:val="24"/>
                <w:szCs w:val="24"/>
                <w:lang w:val="lt-LT"/>
              </w:rPr>
            </w:pPr>
            <w:r w:rsidRPr="00CA28DC">
              <w:rPr>
                <w:sz w:val="24"/>
                <w:szCs w:val="24"/>
                <w:lang w:val="lt-LT"/>
              </w:rPr>
              <w:t>Vidutinis darbuotojų skaičius</w:t>
            </w:r>
          </w:p>
        </w:tc>
        <w:tc>
          <w:tcPr>
            <w:tcW w:w="1700" w:type="dxa"/>
            <w:tcBorders>
              <w:top w:val="single" w:sz="8" w:space="0" w:color="auto"/>
              <w:left w:val="nil"/>
              <w:bottom w:val="single" w:sz="4" w:space="0" w:color="auto"/>
              <w:right w:val="single" w:sz="8" w:space="0" w:color="auto"/>
            </w:tcBorders>
            <w:noWrap/>
            <w:vAlign w:val="bottom"/>
            <w:hideMark/>
          </w:tcPr>
          <w:p w14:paraId="5F1F9A8D" w14:textId="77777777" w:rsidR="002C38D9" w:rsidRPr="00CA28DC" w:rsidRDefault="002C38D9" w:rsidP="00186D20">
            <w:pPr>
              <w:jc w:val="center"/>
              <w:rPr>
                <w:sz w:val="24"/>
                <w:szCs w:val="24"/>
                <w:lang w:val="lt-LT"/>
              </w:rPr>
            </w:pPr>
            <w:r w:rsidRPr="00CA28DC">
              <w:rPr>
                <w:sz w:val="24"/>
                <w:szCs w:val="24"/>
                <w:lang w:val="lt-LT"/>
              </w:rPr>
              <w:t>29</w:t>
            </w:r>
          </w:p>
        </w:tc>
      </w:tr>
      <w:tr w:rsidR="002C38D9" w:rsidRPr="00CA28DC" w14:paraId="2EA335DD" w14:textId="77777777" w:rsidTr="00186D20">
        <w:trPr>
          <w:trHeight w:val="329"/>
        </w:trPr>
        <w:tc>
          <w:tcPr>
            <w:tcW w:w="635" w:type="dxa"/>
            <w:tcBorders>
              <w:top w:val="nil"/>
              <w:left w:val="single" w:sz="8" w:space="0" w:color="auto"/>
              <w:bottom w:val="single" w:sz="8" w:space="0" w:color="auto"/>
              <w:right w:val="single" w:sz="4" w:space="0" w:color="auto"/>
            </w:tcBorders>
            <w:noWrap/>
            <w:vAlign w:val="center"/>
            <w:hideMark/>
          </w:tcPr>
          <w:p w14:paraId="6E111AA0" w14:textId="77777777" w:rsidR="002C38D9" w:rsidRPr="00CA28DC" w:rsidRDefault="002C38D9" w:rsidP="00186D20">
            <w:pPr>
              <w:jc w:val="both"/>
              <w:rPr>
                <w:sz w:val="24"/>
                <w:szCs w:val="24"/>
                <w:lang w:val="lt-LT"/>
              </w:rPr>
            </w:pPr>
            <w:r w:rsidRPr="00CA28DC">
              <w:rPr>
                <w:sz w:val="24"/>
                <w:szCs w:val="24"/>
                <w:lang w:val="lt-LT"/>
              </w:rPr>
              <w:t>2.    </w:t>
            </w:r>
          </w:p>
        </w:tc>
        <w:tc>
          <w:tcPr>
            <w:tcW w:w="4096" w:type="dxa"/>
            <w:tcBorders>
              <w:top w:val="nil"/>
              <w:left w:val="nil"/>
              <w:bottom w:val="single" w:sz="8" w:space="0" w:color="auto"/>
              <w:right w:val="single" w:sz="4" w:space="0" w:color="auto"/>
            </w:tcBorders>
            <w:noWrap/>
            <w:vAlign w:val="bottom"/>
            <w:hideMark/>
          </w:tcPr>
          <w:p w14:paraId="213765F6" w14:textId="77777777" w:rsidR="002C38D9" w:rsidRPr="00CA28DC" w:rsidRDefault="002C38D9" w:rsidP="00186D20">
            <w:pPr>
              <w:rPr>
                <w:sz w:val="24"/>
                <w:szCs w:val="24"/>
                <w:lang w:val="lt-LT"/>
              </w:rPr>
            </w:pPr>
            <w:r w:rsidRPr="00CA28DC">
              <w:rPr>
                <w:sz w:val="24"/>
                <w:szCs w:val="24"/>
                <w:lang w:val="lt-LT"/>
              </w:rPr>
              <w:t>Vidutinis darbo užmokestis EUR</w:t>
            </w:r>
          </w:p>
        </w:tc>
        <w:tc>
          <w:tcPr>
            <w:tcW w:w="1700" w:type="dxa"/>
            <w:tcBorders>
              <w:top w:val="nil"/>
              <w:left w:val="nil"/>
              <w:bottom w:val="single" w:sz="8" w:space="0" w:color="auto"/>
              <w:right w:val="single" w:sz="8" w:space="0" w:color="auto"/>
            </w:tcBorders>
            <w:noWrap/>
            <w:vAlign w:val="bottom"/>
            <w:hideMark/>
          </w:tcPr>
          <w:p w14:paraId="654F4F54" w14:textId="77777777" w:rsidR="002C38D9" w:rsidRPr="00CA28DC" w:rsidRDefault="002C38D9" w:rsidP="00186D20">
            <w:pPr>
              <w:jc w:val="center"/>
              <w:rPr>
                <w:sz w:val="24"/>
                <w:szCs w:val="24"/>
                <w:lang w:val="lt-LT"/>
              </w:rPr>
            </w:pPr>
            <w:r w:rsidRPr="00CA28DC">
              <w:rPr>
                <w:sz w:val="24"/>
                <w:szCs w:val="24"/>
                <w:lang w:val="lt-LT"/>
              </w:rPr>
              <w:t>1055,30</w:t>
            </w:r>
          </w:p>
        </w:tc>
      </w:tr>
    </w:tbl>
    <w:p w14:paraId="2215D80C" w14:textId="77777777" w:rsidR="002C38D9" w:rsidRPr="00CA28DC" w:rsidRDefault="002C38D9" w:rsidP="002C38D9">
      <w:pPr>
        <w:jc w:val="both"/>
        <w:rPr>
          <w:sz w:val="24"/>
          <w:szCs w:val="24"/>
          <w:lang w:val="lt-LT"/>
        </w:rPr>
      </w:pPr>
    </w:p>
    <w:p w14:paraId="3DD9C620" w14:textId="5175A8BF" w:rsidR="002C38D9" w:rsidRPr="00CA28DC" w:rsidRDefault="00186D20" w:rsidP="002C38D9">
      <w:pPr>
        <w:jc w:val="both"/>
        <w:rPr>
          <w:sz w:val="24"/>
          <w:szCs w:val="24"/>
          <w:lang w:val="lt-LT"/>
        </w:rPr>
      </w:pPr>
      <w:r w:rsidRPr="00CA28DC">
        <w:rPr>
          <w:sz w:val="24"/>
          <w:szCs w:val="24"/>
          <w:lang w:val="lt-LT"/>
        </w:rPr>
        <w:tab/>
      </w:r>
      <w:r w:rsidR="002C38D9" w:rsidRPr="00CA28DC">
        <w:rPr>
          <w:sz w:val="24"/>
          <w:szCs w:val="24"/>
          <w:lang w:val="lt-LT"/>
        </w:rPr>
        <w:t xml:space="preserve">Paskaičiuotas pelno mokestis </w:t>
      </w:r>
      <w:r w:rsidRPr="00CA28DC">
        <w:rPr>
          <w:sz w:val="24"/>
          <w:szCs w:val="24"/>
          <w:lang w:val="lt-LT"/>
        </w:rPr>
        <w:t xml:space="preserve">– </w:t>
      </w:r>
      <w:r w:rsidR="002C38D9" w:rsidRPr="00CA28DC">
        <w:rPr>
          <w:sz w:val="24"/>
          <w:szCs w:val="24"/>
          <w:lang w:val="lt-LT"/>
        </w:rPr>
        <w:t xml:space="preserve">8695 Eur. Grynasis pelnas </w:t>
      </w:r>
      <w:r w:rsidRPr="00CA28DC">
        <w:rPr>
          <w:sz w:val="24"/>
          <w:szCs w:val="24"/>
          <w:lang w:val="lt-LT"/>
        </w:rPr>
        <w:t xml:space="preserve">– </w:t>
      </w:r>
      <w:r w:rsidR="002C38D9" w:rsidRPr="00CA28DC">
        <w:rPr>
          <w:sz w:val="24"/>
          <w:szCs w:val="24"/>
          <w:lang w:val="lt-LT"/>
        </w:rPr>
        <w:t xml:space="preserve">46595 Eur. Kadangi dėl </w:t>
      </w:r>
      <w:r w:rsidRPr="00CA28DC">
        <w:rPr>
          <w:sz w:val="24"/>
          <w:szCs w:val="24"/>
          <w:lang w:val="lt-LT"/>
        </w:rPr>
        <w:t>COVID</w:t>
      </w:r>
      <w:r w:rsidR="002C38D9" w:rsidRPr="00CA28DC">
        <w:rPr>
          <w:sz w:val="24"/>
          <w:szCs w:val="24"/>
          <w:lang w:val="lt-LT"/>
        </w:rPr>
        <w:t xml:space="preserve">-19 pandemijos buvo gauta subsidija už prastovas ir </w:t>
      </w:r>
      <w:proofErr w:type="spellStart"/>
      <w:r w:rsidR="002C38D9" w:rsidRPr="00CA28DC">
        <w:rPr>
          <w:sz w:val="24"/>
          <w:szCs w:val="24"/>
          <w:lang w:val="lt-LT"/>
        </w:rPr>
        <w:t>pokarantininė</w:t>
      </w:r>
      <w:proofErr w:type="spellEnd"/>
      <w:r w:rsidR="002C38D9" w:rsidRPr="00CA28DC">
        <w:rPr>
          <w:sz w:val="24"/>
          <w:szCs w:val="24"/>
          <w:lang w:val="lt-LT"/>
        </w:rPr>
        <w:t xml:space="preserve"> subsidija kasininkių darbo užmokesčiui –  8100 Eur, todėl ši suma padidina pelną ir negali būti skirta dividendams.                      </w:t>
      </w:r>
    </w:p>
    <w:p w14:paraId="3B0E17D5" w14:textId="77777777" w:rsidR="002C38D9" w:rsidRPr="00CA28DC" w:rsidRDefault="002C38D9" w:rsidP="002C38D9">
      <w:pPr>
        <w:pStyle w:val="Betarp"/>
        <w:spacing w:line="276" w:lineRule="auto"/>
        <w:jc w:val="both"/>
        <w:rPr>
          <w:rFonts w:ascii="Times New Roman" w:hAnsi="Times New Roman"/>
          <w:sz w:val="24"/>
          <w:szCs w:val="24"/>
        </w:rPr>
      </w:pPr>
    </w:p>
    <w:p w14:paraId="6692A020" w14:textId="29D77C0F" w:rsidR="002C38D9" w:rsidRPr="00CA28DC" w:rsidRDefault="00186D20" w:rsidP="002C38D9">
      <w:pPr>
        <w:pStyle w:val="Betarp"/>
        <w:spacing w:line="276" w:lineRule="auto"/>
        <w:jc w:val="both"/>
        <w:rPr>
          <w:rFonts w:ascii="Times New Roman" w:hAnsi="Times New Roman"/>
          <w:sz w:val="24"/>
          <w:szCs w:val="24"/>
        </w:rPr>
      </w:pPr>
      <w:r w:rsidRPr="00CA28DC">
        <w:rPr>
          <w:rFonts w:ascii="Times New Roman" w:hAnsi="Times New Roman"/>
          <w:sz w:val="24"/>
          <w:szCs w:val="24"/>
        </w:rPr>
        <w:tab/>
      </w:r>
      <w:r w:rsidR="002C38D9" w:rsidRPr="00CA28DC">
        <w:rPr>
          <w:rFonts w:ascii="Times New Roman" w:hAnsi="Times New Roman"/>
          <w:sz w:val="24"/>
          <w:szCs w:val="24"/>
        </w:rPr>
        <w:t>Priskaičiuota per metus mokesčių nuo visos bendrovės veiklos (Eur)</w:t>
      </w:r>
    </w:p>
    <w:p w14:paraId="478EF050" w14:textId="77777777" w:rsidR="002C38D9" w:rsidRPr="00CA28DC" w:rsidRDefault="002C38D9" w:rsidP="002C38D9">
      <w:pPr>
        <w:rPr>
          <w:sz w:val="24"/>
          <w:szCs w:val="24"/>
          <w:lang w:val="lt-LT"/>
        </w:rPr>
      </w:pPr>
    </w:p>
    <w:tbl>
      <w:tblPr>
        <w:tblStyle w:val="Lentelstinklelis"/>
        <w:tblW w:w="9561" w:type="dxa"/>
        <w:tblInd w:w="3" w:type="dxa"/>
        <w:tblLayout w:type="fixed"/>
        <w:tblLook w:val="04A0" w:firstRow="1" w:lastRow="0" w:firstColumn="1" w:lastColumn="0" w:noHBand="0" w:noVBand="1"/>
      </w:tblPr>
      <w:tblGrid>
        <w:gridCol w:w="1285"/>
        <w:gridCol w:w="1306"/>
        <w:gridCol w:w="1307"/>
        <w:gridCol w:w="1742"/>
        <w:gridCol w:w="1307"/>
        <w:gridCol w:w="1307"/>
        <w:gridCol w:w="1307"/>
      </w:tblGrid>
      <w:tr w:rsidR="002C38D9" w:rsidRPr="00CA28DC" w14:paraId="7E0BFBE7" w14:textId="77777777" w:rsidTr="00186D20">
        <w:trPr>
          <w:trHeight w:val="817"/>
        </w:trPr>
        <w:tc>
          <w:tcPr>
            <w:tcW w:w="1285" w:type="dxa"/>
            <w:tcBorders>
              <w:top w:val="single" w:sz="4" w:space="0" w:color="auto"/>
              <w:left w:val="single" w:sz="4" w:space="0" w:color="auto"/>
              <w:bottom w:val="single" w:sz="4" w:space="0" w:color="auto"/>
              <w:right w:val="single" w:sz="4" w:space="0" w:color="auto"/>
            </w:tcBorders>
            <w:hideMark/>
          </w:tcPr>
          <w:p w14:paraId="6CC608BD" w14:textId="77777777" w:rsidR="002C38D9" w:rsidRPr="00CA28DC" w:rsidRDefault="002C38D9" w:rsidP="00186D20">
            <w:pPr>
              <w:pStyle w:val="Betarp"/>
              <w:jc w:val="both"/>
              <w:rPr>
                <w:rFonts w:ascii="Times New Roman" w:hAnsi="Times New Roman"/>
                <w:sz w:val="24"/>
                <w:szCs w:val="24"/>
              </w:rPr>
            </w:pPr>
            <w:r w:rsidRPr="00CA28DC">
              <w:rPr>
                <w:rFonts w:ascii="Times New Roman" w:hAnsi="Times New Roman"/>
                <w:sz w:val="24"/>
                <w:szCs w:val="24"/>
              </w:rPr>
              <w:t>Gyventojų pajamų mokesčio</w:t>
            </w:r>
          </w:p>
        </w:tc>
        <w:tc>
          <w:tcPr>
            <w:tcW w:w="1306" w:type="dxa"/>
            <w:tcBorders>
              <w:top w:val="single" w:sz="4" w:space="0" w:color="auto"/>
              <w:left w:val="single" w:sz="4" w:space="0" w:color="auto"/>
              <w:bottom w:val="single" w:sz="4" w:space="0" w:color="auto"/>
              <w:right w:val="single" w:sz="4" w:space="0" w:color="auto"/>
            </w:tcBorders>
            <w:hideMark/>
          </w:tcPr>
          <w:p w14:paraId="044A27C2" w14:textId="77777777" w:rsidR="002C38D9" w:rsidRPr="00CA28DC" w:rsidRDefault="002C38D9" w:rsidP="00186D20">
            <w:pPr>
              <w:pStyle w:val="Betarp"/>
              <w:jc w:val="both"/>
              <w:rPr>
                <w:rFonts w:ascii="Times New Roman" w:hAnsi="Times New Roman"/>
                <w:sz w:val="24"/>
                <w:szCs w:val="24"/>
              </w:rPr>
            </w:pPr>
            <w:r w:rsidRPr="00CA28DC">
              <w:rPr>
                <w:rFonts w:ascii="Times New Roman" w:hAnsi="Times New Roman"/>
                <w:sz w:val="24"/>
                <w:szCs w:val="24"/>
              </w:rPr>
              <w:t>Pridėtinės vertės mokesčio</w:t>
            </w:r>
          </w:p>
        </w:tc>
        <w:tc>
          <w:tcPr>
            <w:tcW w:w="1307" w:type="dxa"/>
            <w:tcBorders>
              <w:top w:val="single" w:sz="4" w:space="0" w:color="auto"/>
              <w:left w:val="single" w:sz="4" w:space="0" w:color="auto"/>
              <w:bottom w:val="single" w:sz="4" w:space="0" w:color="auto"/>
              <w:right w:val="single" w:sz="4" w:space="0" w:color="auto"/>
            </w:tcBorders>
            <w:hideMark/>
          </w:tcPr>
          <w:p w14:paraId="2BE402F0" w14:textId="77777777" w:rsidR="002C38D9" w:rsidRPr="00CA28DC" w:rsidRDefault="002C38D9" w:rsidP="00186D20">
            <w:pPr>
              <w:pStyle w:val="Betarp"/>
              <w:jc w:val="both"/>
              <w:rPr>
                <w:rFonts w:ascii="Times New Roman" w:hAnsi="Times New Roman"/>
                <w:sz w:val="24"/>
                <w:szCs w:val="24"/>
              </w:rPr>
            </w:pPr>
            <w:r w:rsidRPr="00CA28DC">
              <w:rPr>
                <w:rFonts w:ascii="Times New Roman" w:hAnsi="Times New Roman"/>
                <w:sz w:val="24"/>
                <w:szCs w:val="24"/>
              </w:rPr>
              <w:t>Žemės nuomos mokesčio</w:t>
            </w:r>
          </w:p>
        </w:tc>
        <w:tc>
          <w:tcPr>
            <w:tcW w:w="1742" w:type="dxa"/>
            <w:tcBorders>
              <w:top w:val="single" w:sz="4" w:space="0" w:color="auto"/>
              <w:left w:val="single" w:sz="4" w:space="0" w:color="auto"/>
              <w:bottom w:val="single" w:sz="4" w:space="0" w:color="auto"/>
              <w:right w:val="single" w:sz="4" w:space="0" w:color="auto"/>
            </w:tcBorders>
            <w:hideMark/>
          </w:tcPr>
          <w:p w14:paraId="65517346" w14:textId="77777777" w:rsidR="002C38D9" w:rsidRPr="00CA28DC" w:rsidRDefault="002C38D9" w:rsidP="00186D20">
            <w:pPr>
              <w:pStyle w:val="Betarp"/>
              <w:jc w:val="both"/>
              <w:rPr>
                <w:rFonts w:ascii="Times New Roman" w:hAnsi="Times New Roman"/>
                <w:sz w:val="24"/>
                <w:szCs w:val="24"/>
              </w:rPr>
            </w:pPr>
            <w:r w:rsidRPr="00CA28DC">
              <w:rPr>
                <w:rFonts w:ascii="Times New Roman" w:hAnsi="Times New Roman"/>
                <w:sz w:val="24"/>
                <w:szCs w:val="24"/>
              </w:rPr>
              <w:t>Nekilnojamojo turto mokesčio</w:t>
            </w:r>
          </w:p>
        </w:tc>
        <w:tc>
          <w:tcPr>
            <w:tcW w:w="1307" w:type="dxa"/>
            <w:tcBorders>
              <w:top w:val="single" w:sz="4" w:space="0" w:color="auto"/>
              <w:left w:val="single" w:sz="4" w:space="0" w:color="auto"/>
              <w:bottom w:val="single" w:sz="4" w:space="0" w:color="auto"/>
              <w:right w:val="single" w:sz="4" w:space="0" w:color="auto"/>
            </w:tcBorders>
            <w:hideMark/>
          </w:tcPr>
          <w:p w14:paraId="00C02637" w14:textId="77777777" w:rsidR="002C38D9" w:rsidRPr="00CA28DC" w:rsidRDefault="002C38D9" w:rsidP="00186D20">
            <w:pPr>
              <w:pStyle w:val="Betarp"/>
              <w:jc w:val="both"/>
              <w:rPr>
                <w:rFonts w:ascii="Times New Roman" w:hAnsi="Times New Roman"/>
                <w:sz w:val="24"/>
                <w:szCs w:val="24"/>
              </w:rPr>
            </w:pPr>
            <w:r w:rsidRPr="00CA28DC">
              <w:rPr>
                <w:rFonts w:ascii="Times New Roman" w:hAnsi="Times New Roman"/>
                <w:sz w:val="24"/>
                <w:szCs w:val="24"/>
              </w:rPr>
              <w:t>Socialinio draudimo mokesčio</w:t>
            </w:r>
          </w:p>
        </w:tc>
        <w:tc>
          <w:tcPr>
            <w:tcW w:w="1307" w:type="dxa"/>
            <w:tcBorders>
              <w:top w:val="single" w:sz="4" w:space="0" w:color="auto"/>
              <w:left w:val="single" w:sz="4" w:space="0" w:color="auto"/>
              <w:bottom w:val="single" w:sz="4" w:space="0" w:color="auto"/>
              <w:right w:val="single" w:sz="4" w:space="0" w:color="auto"/>
            </w:tcBorders>
            <w:hideMark/>
          </w:tcPr>
          <w:p w14:paraId="6686C107" w14:textId="77777777" w:rsidR="002C38D9" w:rsidRPr="00CA28DC" w:rsidRDefault="002C38D9" w:rsidP="00186D20">
            <w:pPr>
              <w:pStyle w:val="Betarp"/>
              <w:jc w:val="both"/>
              <w:rPr>
                <w:rFonts w:ascii="Times New Roman" w:hAnsi="Times New Roman"/>
                <w:sz w:val="24"/>
                <w:szCs w:val="24"/>
              </w:rPr>
            </w:pPr>
            <w:r w:rsidRPr="00CA28DC">
              <w:rPr>
                <w:rFonts w:ascii="Times New Roman" w:hAnsi="Times New Roman"/>
                <w:sz w:val="24"/>
                <w:szCs w:val="24"/>
              </w:rPr>
              <w:t>Kitų mokesčių</w:t>
            </w:r>
          </w:p>
        </w:tc>
        <w:tc>
          <w:tcPr>
            <w:tcW w:w="1307" w:type="dxa"/>
            <w:tcBorders>
              <w:top w:val="single" w:sz="4" w:space="0" w:color="auto"/>
              <w:left w:val="single" w:sz="4" w:space="0" w:color="auto"/>
              <w:bottom w:val="single" w:sz="4" w:space="0" w:color="auto"/>
              <w:right w:val="single" w:sz="4" w:space="0" w:color="auto"/>
            </w:tcBorders>
            <w:hideMark/>
          </w:tcPr>
          <w:p w14:paraId="5AA81A76" w14:textId="77777777" w:rsidR="002C38D9" w:rsidRPr="00CA28DC" w:rsidRDefault="002C38D9" w:rsidP="00186D20">
            <w:pPr>
              <w:pStyle w:val="Betarp"/>
              <w:jc w:val="both"/>
              <w:rPr>
                <w:rFonts w:ascii="Times New Roman" w:hAnsi="Times New Roman"/>
                <w:sz w:val="24"/>
                <w:szCs w:val="24"/>
              </w:rPr>
            </w:pPr>
            <w:r w:rsidRPr="00CA28DC">
              <w:rPr>
                <w:rFonts w:ascii="Times New Roman" w:hAnsi="Times New Roman"/>
                <w:sz w:val="24"/>
                <w:szCs w:val="24"/>
              </w:rPr>
              <w:t>Iš viso:</w:t>
            </w:r>
          </w:p>
        </w:tc>
      </w:tr>
      <w:tr w:rsidR="002C38D9" w:rsidRPr="00CA28DC" w14:paraId="624D559B" w14:textId="77777777" w:rsidTr="00186D20">
        <w:trPr>
          <w:trHeight w:val="279"/>
        </w:trPr>
        <w:tc>
          <w:tcPr>
            <w:tcW w:w="1285" w:type="dxa"/>
            <w:tcBorders>
              <w:top w:val="single" w:sz="4" w:space="0" w:color="auto"/>
              <w:left w:val="single" w:sz="4" w:space="0" w:color="auto"/>
              <w:bottom w:val="single" w:sz="4" w:space="0" w:color="auto"/>
              <w:right w:val="single" w:sz="4" w:space="0" w:color="auto"/>
            </w:tcBorders>
            <w:hideMark/>
          </w:tcPr>
          <w:p w14:paraId="2CCBC15C" w14:textId="77777777" w:rsidR="002C38D9" w:rsidRPr="00CA28DC" w:rsidRDefault="002C38D9" w:rsidP="00186D20">
            <w:pPr>
              <w:pStyle w:val="Betarp"/>
              <w:jc w:val="center"/>
              <w:rPr>
                <w:rFonts w:ascii="Times New Roman" w:hAnsi="Times New Roman"/>
                <w:sz w:val="24"/>
                <w:szCs w:val="24"/>
              </w:rPr>
            </w:pPr>
            <w:r w:rsidRPr="00CA28DC">
              <w:rPr>
                <w:rFonts w:ascii="Times New Roman" w:hAnsi="Times New Roman"/>
                <w:sz w:val="24"/>
                <w:szCs w:val="24"/>
              </w:rPr>
              <w:t>51 747</w:t>
            </w:r>
          </w:p>
        </w:tc>
        <w:tc>
          <w:tcPr>
            <w:tcW w:w="1306" w:type="dxa"/>
            <w:tcBorders>
              <w:top w:val="single" w:sz="4" w:space="0" w:color="auto"/>
              <w:left w:val="single" w:sz="4" w:space="0" w:color="auto"/>
              <w:bottom w:val="single" w:sz="4" w:space="0" w:color="auto"/>
              <w:right w:val="single" w:sz="4" w:space="0" w:color="auto"/>
            </w:tcBorders>
            <w:hideMark/>
          </w:tcPr>
          <w:p w14:paraId="1FC5A464" w14:textId="77777777" w:rsidR="002C38D9" w:rsidRPr="00CA28DC" w:rsidRDefault="002C38D9" w:rsidP="00186D20">
            <w:pPr>
              <w:pStyle w:val="Betarp"/>
              <w:jc w:val="center"/>
              <w:rPr>
                <w:rFonts w:ascii="Times New Roman" w:hAnsi="Times New Roman"/>
                <w:sz w:val="24"/>
                <w:szCs w:val="24"/>
              </w:rPr>
            </w:pPr>
            <w:r w:rsidRPr="00CA28DC">
              <w:rPr>
                <w:rFonts w:ascii="Times New Roman" w:hAnsi="Times New Roman"/>
                <w:sz w:val="24"/>
                <w:szCs w:val="24"/>
              </w:rPr>
              <w:t>91 073</w:t>
            </w:r>
          </w:p>
        </w:tc>
        <w:tc>
          <w:tcPr>
            <w:tcW w:w="1307" w:type="dxa"/>
            <w:tcBorders>
              <w:top w:val="single" w:sz="4" w:space="0" w:color="auto"/>
              <w:left w:val="single" w:sz="4" w:space="0" w:color="auto"/>
              <w:bottom w:val="single" w:sz="4" w:space="0" w:color="auto"/>
              <w:right w:val="single" w:sz="4" w:space="0" w:color="auto"/>
            </w:tcBorders>
            <w:hideMark/>
          </w:tcPr>
          <w:p w14:paraId="7C404C1E" w14:textId="77777777" w:rsidR="002C38D9" w:rsidRPr="00CA28DC" w:rsidRDefault="002C38D9" w:rsidP="00186D20">
            <w:pPr>
              <w:pStyle w:val="Betarp"/>
              <w:jc w:val="center"/>
              <w:rPr>
                <w:rFonts w:ascii="Times New Roman" w:hAnsi="Times New Roman"/>
                <w:sz w:val="24"/>
                <w:szCs w:val="24"/>
              </w:rPr>
            </w:pPr>
            <w:r w:rsidRPr="00CA28DC">
              <w:rPr>
                <w:rFonts w:ascii="Times New Roman" w:hAnsi="Times New Roman"/>
                <w:sz w:val="24"/>
                <w:szCs w:val="24"/>
              </w:rPr>
              <w:t>161</w:t>
            </w:r>
          </w:p>
        </w:tc>
        <w:tc>
          <w:tcPr>
            <w:tcW w:w="1742" w:type="dxa"/>
            <w:tcBorders>
              <w:top w:val="single" w:sz="4" w:space="0" w:color="auto"/>
              <w:left w:val="single" w:sz="4" w:space="0" w:color="auto"/>
              <w:bottom w:val="single" w:sz="4" w:space="0" w:color="auto"/>
              <w:right w:val="single" w:sz="4" w:space="0" w:color="auto"/>
            </w:tcBorders>
            <w:hideMark/>
          </w:tcPr>
          <w:p w14:paraId="49B51927" w14:textId="77777777" w:rsidR="002C38D9" w:rsidRPr="00CA28DC" w:rsidRDefault="002C38D9" w:rsidP="00186D20">
            <w:pPr>
              <w:pStyle w:val="Betarp"/>
              <w:jc w:val="center"/>
              <w:rPr>
                <w:rFonts w:ascii="Times New Roman" w:hAnsi="Times New Roman"/>
                <w:sz w:val="24"/>
                <w:szCs w:val="24"/>
              </w:rPr>
            </w:pPr>
            <w:r w:rsidRPr="00CA28DC">
              <w:rPr>
                <w:rFonts w:ascii="Times New Roman" w:hAnsi="Times New Roman"/>
                <w:sz w:val="24"/>
                <w:szCs w:val="24"/>
              </w:rPr>
              <w:t>625</w:t>
            </w:r>
          </w:p>
        </w:tc>
        <w:tc>
          <w:tcPr>
            <w:tcW w:w="1307" w:type="dxa"/>
            <w:tcBorders>
              <w:top w:val="single" w:sz="4" w:space="0" w:color="auto"/>
              <w:left w:val="single" w:sz="4" w:space="0" w:color="auto"/>
              <w:bottom w:val="single" w:sz="4" w:space="0" w:color="auto"/>
              <w:right w:val="single" w:sz="4" w:space="0" w:color="auto"/>
            </w:tcBorders>
            <w:hideMark/>
          </w:tcPr>
          <w:p w14:paraId="4392C98E" w14:textId="77777777" w:rsidR="002C38D9" w:rsidRPr="00CA28DC" w:rsidRDefault="002C38D9" w:rsidP="00186D20">
            <w:pPr>
              <w:pStyle w:val="Betarp"/>
              <w:jc w:val="center"/>
              <w:rPr>
                <w:rFonts w:ascii="Times New Roman" w:hAnsi="Times New Roman"/>
                <w:sz w:val="24"/>
                <w:szCs w:val="24"/>
              </w:rPr>
            </w:pPr>
            <w:r w:rsidRPr="00CA28DC">
              <w:rPr>
                <w:rFonts w:ascii="Times New Roman" w:hAnsi="Times New Roman"/>
                <w:sz w:val="24"/>
                <w:szCs w:val="24"/>
              </w:rPr>
              <w:t>82 883</w:t>
            </w:r>
          </w:p>
        </w:tc>
        <w:tc>
          <w:tcPr>
            <w:tcW w:w="1307" w:type="dxa"/>
            <w:tcBorders>
              <w:top w:val="single" w:sz="4" w:space="0" w:color="auto"/>
              <w:left w:val="single" w:sz="4" w:space="0" w:color="auto"/>
              <w:bottom w:val="single" w:sz="4" w:space="0" w:color="auto"/>
              <w:right w:val="single" w:sz="4" w:space="0" w:color="auto"/>
            </w:tcBorders>
            <w:hideMark/>
          </w:tcPr>
          <w:p w14:paraId="714B2500" w14:textId="77777777" w:rsidR="002C38D9" w:rsidRPr="00CA28DC" w:rsidRDefault="002C38D9" w:rsidP="00186D20">
            <w:pPr>
              <w:pStyle w:val="Betarp"/>
              <w:jc w:val="center"/>
              <w:rPr>
                <w:rFonts w:ascii="Times New Roman" w:hAnsi="Times New Roman"/>
                <w:sz w:val="24"/>
                <w:szCs w:val="24"/>
              </w:rPr>
            </w:pPr>
            <w:r w:rsidRPr="00CA28DC">
              <w:rPr>
                <w:rFonts w:ascii="Times New Roman" w:hAnsi="Times New Roman"/>
                <w:sz w:val="24"/>
                <w:szCs w:val="24"/>
              </w:rPr>
              <w:t>407</w:t>
            </w:r>
          </w:p>
        </w:tc>
        <w:tc>
          <w:tcPr>
            <w:tcW w:w="1307" w:type="dxa"/>
            <w:tcBorders>
              <w:top w:val="single" w:sz="4" w:space="0" w:color="auto"/>
              <w:left w:val="single" w:sz="4" w:space="0" w:color="auto"/>
              <w:bottom w:val="single" w:sz="4" w:space="0" w:color="auto"/>
              <w:right w:val="single" w:sz="4" w:space="0" w:color="auto"/>
            </w:tcBorders>
            <w:hideMark/>
          </w:tcPr>
          <w:p w14:paraId="6AD757B9" w14:textId="77777777" w:rsidR="002C38D9" w:rsidRPr="00CA28DC" w:rsidRDefault="002C38D9" w:rsidP="00186D20">
            <w:pPr>
              <w:pStyle w:val="Betarp"/>
              <w:jc w:val="center"/>
              <w:rPr>
                <w:rFonts w:ascii="Times New Roman" w:hAnsi="Times New Roman"/>
                <w:sz w:val="24"/>
                <w:szCs w:val="24"/>
              </w:rPr>
            </w:pPr>
            <w:r w:rsidRPr="00CA28DC">
              <w:rPr>
                <w:rFonts w:ascii="Times New Roman" w:hAnsi="Times New Roman"/>
                <w:sz w:val="24"/>
                <w:szCs w:val="24"/>
              </w:rPr>
              <w:t>226 896</w:t>
            </w:r>
          </w:p>
        </w:tc>
      </w:tr>
    </w:tbl>
    <w:p w14:paraId="23D2E5C9" w14:textId="77777777" w:rsidR="002C38D9" w:rsidRPr="00CA28DC" w:rsidRDefault="002C38D9" w:rsidP="002C38D9">
      <w:pPr>
        <w:rPr>
          <w:sz w:val="24"/>
          <w:szCs w:val="24"/>
          <w:lang w:val="lt-LT"/>
        </w:rPr>
      </w:pPr>
    </w:p>
    <w:p w14:paraId="6D65A9B8" w14:textId="5B9473BE" w:rsidR="002C38D9" w:rsidRPr="00CA28DC" w:rsidRDefault="002C38D9" w:rsidP="002C38D9">
      <w:pPr>
        <w:pStyle w:val="Betarp"/>
        <w:ind w:firstLine="720"/>
        <w:jc w:val="both"/>
        <w:rPr>
          <w:rFonts w:ascii="Times New Roman" w:hAnsi="Times New Roman"/>
          <w:sz w:val="24"/>
          <w:szCs w:val="24"/>
        </w:rPr>
      </w:pPr>
      <w:r w:rsidRPr="00CA28DC">
        <w:rPr>
          <w:rFonts w:ascii="Times New Roman" w:hAnsi="Times New Roman"/>
          <w:sz w:val="24"/>
          <w:szCs w:val="24"/>
        </w:rPr>
        <w:t>Įmonės debitorinis įsiskolinimas – 159 777 eurai. Didžiausius debitorinis įsiskolinimas yra:                                                       gyventojų įsiskolinimas už komunalines paslaugas – 129 126 Eur, kitų pirkėjų įsiskolinimas – 5 647 Eur (iš jų: AB „Suskystintos dujos“</w:t>
      </w:r>
      <w:r w:rsidR="00186D20" w:rsidRPr="00CA28DC">
        <w:rPr>
          <w:rFonts w:ascii="Times New Roman" w:hAnsi="Times New Roman"/>
          <w:sz w:val="24"/>
          <w:szCs w:val="24"/>
        </w:rPr>
        <w:t xml:space="preserve"> –</w:t>
      </w:r>
      <w:r w:rsidRPr="00CA28DC">
        <w:rPr>
          <w:rFonts w:ascii="Times New Roman" w:hAnsi="Times New Roman"/>
          <w:sz w:val="24"/>
          <w:szCs w:val="24"/>
        </w:rPr>
        <w:t xml:space="preserve"> 895 Eur, VĮ Turto bankas – 713 Eur, GN Panevėžio 2 – 721 Eur), kitos gautinos sumos – 25 004 Eur (iš jų 23 145 Eur gautini iš gyventojų už renovuojamus namus).</w:t>
      </w:r>
      <w:r w:rsidR="00990C62" w:rsidRPr="00CA28DC">
        <w:rPr>
          <w:rFonts w:ascii="Times New Roman" w:hAnsi="Times New Roman"/>
          <w:sz w:val="24"/>
          <w:szCs w:val="24"/>
        </w:rPr>
        <w:tab/>
        <w:t xml:space="preserve">     </w:t>
      </w:r>
    </w:p>
    <w:p w14:paraId="3BE4C9E7" w14:textId="620DEC38" w:rsidR="00990C62" w:rsidRPr="00CA28DC" w:rsidRDefault="00990C62" w:rsidP="002C38D9">
      <w:pPr>
        <w:pStyle w:val="Betarp"/>
        <w:ind w:firstLine="720"/>
        <w:jc w:val="both"/>
        <w:rPr>
          <w:rFonts w:ascii="Times New Roman" w:hAnsi="Times New Roman"/>
          <w:sz w:val="24"/>
          <w:szCs w:val="24"/>
        </w:rPr>
      </w:pPr>
      <w:r w:rsidRPr="00CA28DC">
        <w:rPr>
          <w:rFonts w:ascii="Times New Roman" w:hAnsi="Times New Roman"/>
          <w:sz w:val="24"/>
          <w:szCs w:val="24"/>
        </w:rPr>
        <w:t xml:space="preserve">Įmonės kreditorinis įsiskolinimas – 340 218 eurai. Įsipareigojimai, susiję su mokėjimo įstaigos veikla – 40 622 Eur (mokėjimo paslaugų vartotojų surinktų lėšų likutis iš gyventojų už </w:t>
      </w:r>
      <w:r w:rsidRPr="00CA28DC">
        <w:rPr>
          <w:rFonts w:ascii="Times New Roman" w:hAnsi="Times New Roman"/>
          <w:sz w:val="24"/>
          <w:szCs w:val="24"/>
        </w:rPr>
        <w:lastRenderedPageBreak/>
        <w:t xml:space="preserve">elektrą, dujas, šaltą, karštą vandenį – 21 165 Eur, neprivatizuotų butų nuoma – 2 169 Eur, DNSB lėšos </w:t>
      </w:r>
      <w:r w:rsidR="00186D20" w:rsidRPr="00CA28DC">
        <w:rPr>
          <w:rFonts w:ascii="Times New Roman" w:hAnsi="Times New Roman"/>
          <w:sz w:val="24"/>
          <w:szCs w:val="24"/>
        </w:rPr>
        <w:t>–</w:t>
      </w:r>
      <w:r w:rsidRPr="00CA28DC">
        <w:rPr>
          <w:rFonts w:ascii="Times New Roman" w:hAnsi="Times New Roman"/>
          <w:sz w:val="24"/>
          <w:szCs w:val="24"/>
        </w:rPr>
        <w:t xml:space="preserve"> 17 232 Eur, sumokėta skola gyventojų savivaldybei už renovuotus namus </w:t>
      </w:r>
      <w:r w:rsidR="00186D20" w:rsidRPr="00CA28DC">
        <w:rPr>
          <w:rFonts w:ascii="Times New Roman" w:hAnsi="Times New Roman"/>
          <w:sz w:val="24"/>
          <w:szCs w:val="24"/>
        </w:rPr>
        <w:t xml:space="preserve">– </w:t>
      </w:r>
      <w:r w:rsidRPr="00CA28DC">
        <w:rPr>
          <w:rFonts w:ascii="Times New Roman" w:hAnsi="Times New Roman"/>
          <w:sz w:val="24"/>
          <w:szCs w:val="24"/>
        </w:rPr>
        <w:t xml:space="preserve">56 Eur), gyvenamųjų namų kaupiamosios lėšos </w:t>
      </w:r>
      <w:r w:rsidR="00186D20" w:rsidRPr="00CA28DC">
        <w:rPr>
          <w:rFonts w:ascii="Times New Roman" w:hAnsi="Times New Roman"/>
          <w:sz w:val="24"/>
          <w:szCs w:val="24"/>
        </w:rPr>
        <w:t>–</w:t>
      </w:r>
      <w:r w:rsidRPr="00CA28DC">
        <w:rPr>
          <w:rFonts w:ascii="Times New Roman" w:hAnsi="Times New Roman"/>
          <w:sz w:val="24"/>
          <w:szCs w:val="24"/>
        </w:rPr>
        <w:t xml:space="preserve"> 199 375 Eur , mokėtina suma savivaldybei daugiabučių namų atnaujinimo – 8 222 Eur, daugiabučių savininkų įmokos kreditui grąžinti – 15 294 Eur,  su darbo santykiais susiję įsipareigojimai – 32 892 Eur (atostogų kaupimai), mokėtinos sumos biudžetui – 13 761 Eur, SODRAI – 7588 Eur, gauti išankstiniai apmokėjimai – 1 089 Eur, įvairios mokėtinos – 7976 Eur</w:t>
      </w:r>
      <w:r w:rsidR="006F6E97" w:rsidRPr="00CA28DC">
        <w:rPr>
          <w:rFonts w:ascii="Times New Roman" w:hAnsi="Times New Roman"/>
          <w:sz w:val="24"/>
          <w:szCs w:val="24"/>
        </w:rPr>
        <w:t xml:space="preserve"> </w:t>
      </w:r>
      <w:r w:rsidRPr="00CA28DC">
        <w:rPr>
          <w:rFonts w:ascii="Times New Roman" w:hAnsi="Times New Roman"/>
          <w:sz w:val="24"/>
          <w:szCs w:val="24"/>
        </w:rPr>
        <w:t xml:space="preserve">(gautos piniginės garantijos ir grąžintinos lėšos pagal projektą), skolos tiekėjams </w:t>
      </w:r>
      <w:r w:rsidR="003E54BE" w:rsidRPr="00CA28DC">
        <w:rPr>
          <w:rFonts w:ascii="Times New Roman" w:hAnsi="Times New Roman"/>
          <w:sz w:val="24"/>
          <w:szCs w:val="24"/>
        </w:rPr>
        <w:t>–</w:t>
      </w:r>
      <w:r w:rsidRPr="00CA28DC">
        <w:rPr>
          <w:rFonts w:ascii="Times New Roman" w:hAnsi="Times New Roman"/>
          <w:sz w:val="24"/>
          <w:szCs w:val="24"/>
        </w:rPr>
        <w:t xml:space="preserve"> 13 399 Eur (iš jų už gyvenamųjų namų bendro naudojimo elektrą UAB „</w:t>
      </w:r>
      <w:proofErr w:type="spellStart"/>
      <w:r w:rsidRPr="00CA28DC">
        <w:rPr>
          <w:rFonts w:ascii="Times New Roman" w:hAnsi="Times New Roman"/>
          <w:sz w:val="24"/>
          <w:szCs w:val="24"/>
        </w:rPr>
        <w:t>Ignitis</w:t>
      </w:r>
      <w:proofErr w:type="spellEnd"/>
      <w:r w:rsidRPr="00CA28DC">
        <w:rPr>
          <w:rFonts w:ascii="Times New Roman" w:hAnsi="Times New Roman"/>
          <w:sz w:val="24"/>
          <w:szCs w:val="24"/>
        </w:rPr>
        <w:t xml:space="preserve">“ – 6415 Eur ir už teritorijų valymą AB „Rokiškio komunalininkas“ – 3342 Eur) . </w:t>
      </w:r>
    </w:p>
    <w:p w14:paraId="53227530" w14:textId="77777777" w:rsidR="00990C62" w:rsidRPr="00CA28DC" w:rsidRDefault="00990C62" w:rsidP="00990C62">
      <w:pPr>
        <w:pStyle w:val="Betarp"/>
        <w:jc w:val="both"/>
        <w:rPr>
          <w:rFonts w:ascii="Times New Roman" w:hAnsi="Times New Roman"/>
          <w:sz w:val="24"/>
          <w:szCs w:val="24"/>
        </w:rPr>
      </w:pPr>
    </w:p>
    <w:p w14:paraId="6BF69D35" w14:textId="77777777" w:rsidR="00990C62" w:rsidRPr="00CA28DC" w:rsidRDefault="00990C62" w:rsidP="00990C62">
      <w:pPr>
        <w:pStyle w:val="Betarp"/>
        <w:jc w:val="both"/>
        <w:rPr>
          <w:rFonts w:ascii="Times New Roman" w:hAnsi="Times New Roman"/>
          <w:sz w:val="24"/>
          <w:szCs w:val="24"/>
        </w:rPr>
      </w:pPr>
      <w:r w:rsidRPr="00CA28DC">
        <w:rPr>
          <w:rFonts w:ascii="Times New Roman" w:hAnsi="Times New Roman"/>
          <w:sz w:val="24"/>
          <w:szCs w:val="24"/>
        </w:rPr>
        <w:t xml:space="preserve">  </w:t>
      </w:r>
      <w:bookmarkStart w:id="0" w:name="_Hlk68010113"/>
      <w:r w:rsidRPr="00CA28DC">
        <w:rPr>
          <w:rFonts w:ascii="Times New Roman" w:hAnsi="Times New Roman"/>
          <w:sz w:val="24"/>
          <w:szCs w:val="24"/>
        </w:rPr>
        <w:t>Finansiniai bendrovės rodikliai:</w:t>
      </w:r>
    </w:p>
    <w:p w14:paraId="6EF9F43C" w14:textId="77777777" w:rsidR="00990C62" w:rsidRPr="00CA28DC" w:rsidRDefault="00990C62" w:rsidP="00990C62">
      <w:pPr>
        <w:pStyle w:val="Betarp"/>
        <w:jc w:val="both"/>
        <w:rPr>
          <w:rFonts w:ascii="Times New Roman" w:hAnsi="Times New Roman"/>
          <w:sz w:val="24"/>
          <w:szCs w:val="24"/>
        </w:rPr>
      </w:pPr>
      <w:r w:rsidRPr="00CA28DC">
        <w:rPr>
          <w:rFonts w:ascii="Times New Roman" w:hAnsi="Times New Roman"/>
          <w:sz w:val="24"/>
          <w:szCs w:val="24"/>
        </w:rPr>
        <w:t xml:space="preserve"> </w:t>
      </w:r>
    </w:p>
    <w:tbl>
      <w:tblPr>
        <w:tblW w:w="8207" w:type="dxa"/>
        <w:tblLook w:val="04A0" w:firstRow="1" w:lastRow="0" w:firstColumn="1" w:lastColumn="0" w:noHBand="0" w:noVBand="1"/>
      </w:tblPr>
      <w:tblGrid>
        <w:gridCol w:w="4810"/>
        <w:gridCol w:w="956"/>
        <w:gridCol w:w="1030"/>
        <w:gridCol w:w="1030"/>
        <w:gridCol w:w="1030"/>
      </w:tblGrid>
      <w:tr w:rsidR="00990C62" w:rsidRPr="00CA28DC" w14:paraId="73F7EC00" w14:textId="77777777" w:rsidTr="00990C62">
        <w:trPr>
          <w:trHeight w:val="330"/>
        </w:trPr>
        <w:tc>
          <w:tcPr>
            <w:tcW w:w="4810" w:type="dxa"/>
            <w:tcBorders>
              <w:top w:val="single" w:sz="8" w:space="0" w:color="auto"/>
              <w:left w:val="single" w:sz="8" w:space="0" w:color="auto"/>
              <w:bottom w:val="single" w:sz="4" w:space="0" w:color="auto"/>
              <w:right w:val="single" w:sz="4" w:space="0" w:color="auto"/>
            </w:tcBorders>
            <w:shd w:val="clear" w:color="auto" w:fill="4F81BD"/>
            <w:noWrap/>
            <w:vAlign w:val="center"/>
            <w:hideMark/>
          </w:tcPr>
          <w:p w14:paraId="061B96EA" w14:textId="77777777" w:rsidR="00990C62" w:rsidRPr="00CA28DC" w:rsidRDefault="00990C62">
            <w:pPr>
              <w:rPr>
                <w:b/>
                <w:bCs/>
                <w:sz w:val="24"/>
                <w:szCs w:val="24"/>
                <w:lang w:val="lt-LT"/>
              </w:rPr>
            </w:pPr>
            <w:r w:rsidRPr="00CA28DC">
              <w:rPr>
                <w:b/>
                <w:bCs/>
                <w:sz w:val="24"/>
                <w:szCs w:val="24"/>
                <w:lang w:val="lt-LT"/>
              </w:rPr>
              <w:t>Pelningumo rodikliai</w:t>
            </w:r>
          </w:p>
        </w:tc>
        <w:tc>
          <w:tcPr>
            <w:tcW w:w="307" w:type="dxa"/>
            <w:tcBorders>
              <w:top w:val="single" w:sz="8" w:space="0" w:color="auto"/>
              <w:left w:val="nil"/>
              <w:bottom w:val="single" w:sz="4" w:space="0" w:color="auto"/>
              <w:right w:val="single" w:sz="4" w:space="0" w:color="auto"/>
            </w:tcBorders>
            <w:shd w:val="clear" w:color="auto" w:fill="4F81BD"/>
            <w:noWrap/>
            <w:vAlign w:val="bottom"/>
            <w:hideMark/>
          </w:tcPr>
          <w:p w14:paraId="6B793EE2" w14:textId="77777777" w:rsidR="00990C62" w:rsidRPr="00CA28DC" w:rsidRDefault="00990C62">
            <w:pPr>
              <w:jc w:val="right"/>
              <w:rPr>
                <w:b/>
                <w:bCs/>
                <w:sz w:val="24"/>
                <w:szCs w:val="24"/>
                <w:lang w:val="lt-LT"/>
              </w:rPr>
            </w:pPr>
            <w:r w:rsidRPr="00CA28DC">
              <w:rPr>
                <w:b/>
                <w:bCs/>
                <w:sz w:val="24"/>
                <w:szCs w:val="24"/>
                <w:lang w:val="lt-LT"/>
              </w:rPr>
              <w:t>2017</w:t>
            </w:r>
          </w:p>
        </w:tc>
        <w:tc>
          <w:tcPr>
            <w:tcW w:w="1030" w:type="dxa"/>
            <w:tcBorders>
              <w:top w:val="single" w:sz="8" w:space="0" w:color="auto"/>
              <w:left w:val="nil"/>
              <w:bottom w:val="single" w:sz="4" w:space="0" w:color="auto"/>
              <w:right w:val="single" w:sz="4" w:space="0" w:color="auto"/>
            </w:tcBorders>
            <w:shd w:val="clear" w:color="auto" w:fill="4F81BD"/>
            <w:noWrap/>
            <w:vAlign w:val="bottom"/>
            <w:hideMark/>
          </w:tcPr>
          <w:p w14:paraId="256E66EE" w14:textId="77777777" w:rsidR="00990C62" w:rsidRPr="00CA28DC" w:rsidRDefault="00990C62">
            <w:pPr>
              <w:jc w:val="right"/>
              <w:rPr>
                <w:b/>
                <w:bCs/>
                <w:sz w:val="24"/>
                <w:szCs w:val="24"/>
                <w:lang w:val="lt-LT"/>
              </w:rPr>
            </w:pPr>
            <w:r w:rsidRPr="00CA28DC">
              <w:rPr>
                <w:b/>
                <w:bCs/>
                <w:sz w:val="24"/>
                <w:szCs w:val="24"/>
                <w:lang w:val="lt-LT"/>
              </w:rPr>
              <w:t>2018</w:t>
            </w:r>
          </w:p>
        </w:tc>
        <w:tc>
          <w:tcPr>
            <w:tcW w:w="1030" w:type="dxa"/>
            <w:tcBorders>
              <w:top w:val="single" w:sz="8" w:space="0" w:color="auto"/>
              <w:left w:val="nil"/>
              <w:bottom w:val="single" w:sz="4" w:space="0" w:color="auto"/>
              <w:right w:val="single" w:sz="4" w:space="0" w:color="auto"/>
            </w:tcBorders>
            <w:shd w:val="clear" w:color="auto" w:fill="4F81BD"/>
            <w:noWrap/>
            <w:vAlign w:val="bottom"/>
            <w:hideMark/>
          </w:tcPr>
          <w:p w14:paraId="176F71A2" w14:textId="77777777" w:rsidR="00990C62" w:rsidRPr="00CA28DC" w:rsidRDefault="00990C62">
            <w:pPr>
              <w:jc w:val="right"/>
              <w:rPr>
                <w:b/>
                <w:bCs/>
                <w:sz w:val="24"/>
                <w:szCs w:val="24"/>
                <w:lang w:val="lt-LT"/>
              </w:rPr>
            </w:pPr>
            <w:r w:rsidRPr="00CA28DC">
              <w:rPr>
                <w:b/>
                <w:bCs/>
                <w:sz w:val="24"/>
                <w:szCs w:val="24"/>
                <w:lang w:val="lt-LT"/>
              </w:rPr>
              <w:t>2019</w:t>
            </w:r>
          </w:p>
        </w:tc>
        <w:tc>
          <w:tcPr>
            <w:tcW w:w="1030" w:type="dxa"/>
            <w:tcBorders>
              <w:top w:val="single" w:sz="8" w:space="0" w:color="auto"/>
              <w:left w:val="nil"/>
              <w:bottom w:val="single" w:sz="4" w:space="0" w:color="auto"/>
              <w:right w:val="single" w:sz="4" w:space="0" w:color="auto"/>
            </w:tcBorders>
            <w:shd w:val="clear" w:color="auto" w:fill="4F81BD"/>
            <w:noWrap/>
            <w:vAlign w:val="bottom"/>
            <w:hideMark/>
          </w:tcPr>
          <w:p w14:paraId="29671E08" w14:textId="77777777" w:rsidR="00990C62" w:rsidRPr="00CA28DC" w:rsidRDefault="00990C62">
            <w:pPr>
              <w:jc w:val="right"/>
              <w:rPr>
                <w:b/>
                <w:bCs/>
                <w:sz w:val="24"/>
                <w:szCs w:val="24"/>
                <w:lang w:val="lt-LT"/>
              </w:rPr>
            </w:pPr>
            <w:r w:rsidRPr="00CA28DC">
              <w:rPr>
                <w:b/>
                <w:bCs/>
                <w:sz w:val="24"/>
                <w:szCs w:val="24"/>
                <w:lang w:val="lt-LT"/>
              </w:rPr>
              <w:t>2020</w:t>
            </w:r>
          </w:p>
        </w:tc>
      </w:tr>
      <w:tr w:rsidR="00990C62" w:rsidRPr="00CA28DC" w14:paraId="00345F00" w14:textId="77777777" w:rsidTr="00990C62">
        <w:trPr>
          <w:trHeight w:val="505"/>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0925A6B4" w14:textId="77777777" w:rsidR="00990C62" w:rsidRPr="00CA28DC" w:rsidRDefault="00990C62">
            <w:pPr>
              <w:rPr>
                <w:sz w:val="24"/>
                <w:szCs w:val="24"/>
                <w:lang w:val="lt-LT"/>
              </w:rPr>
            </w:pPr>
            <w:r w:rsidRPr="00CA28DC">
              <w:rPr>
                <w:sz w:val="24"/>
                <w:szCs w:val="24"/>
                <w:lang w:val="lt-LT"/>
              </w:rPr>
              <w:t>Bendrasis pelningumas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0478EDAF" w14:textId="77777777" w:rsidR="00990C62" w:rsidRPr="00CA28DC" w:rsidRDefault="00990C62">
            <w:pPr>
              <w:jc w:val="right"/>
              <w:rPr>
                <w:sz w:val="24"/>
                <w:szCs w:val="24"/>
                <w:lang w:val="lt-LT"/>
              </w:rPr>
            </w:pPr>
            <w:r w:rsidRPr="00CA28DC">
              <w:rPr>
                <w:sz w:val="24"/>
                <w:szCs w:val="24"/>
                <w:lang w:val="lt-LT"/>
              </w:rPr>
              <w:t>17,65%</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2E42FF15" w14:textId="77777777" w:rsidR="00990C62" w:rsidRPr="00CA28DC" w:rsidRDefault="00990C62">
            <w:pPr>
              <w:jc w:val="right"/>
              <w:rPr>
                <w:sz w:val="24"/>
                <w:szCs w:val="24"/>
                <w:lang w:val="lt-LT"/>
              </w:rPr>
            </w:pPr>
            <w:r w:rsidRPr="00CA28DC">
              <w:rPr>
                <w:sz w:val="24"/>
                <w:szCs w:val="24"/>
                <w:lang w:val="lt-LT"/>
              </w:rPr>
              <w:t>14,34%</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5B409E6C" w14:textId="77777777" w:rsidR="00990C62" w:rsidRPr="00CA28DC" w:rsidRDefault="00990C62">
            <w:pPr>
              <w:jc w:val="right"/>
              <w:rPr>
                <w:sz w:val="24"/>
                <w:szCs w:val="24"/>
                <w:lang w:val="lt-LT"/>
              </w:rPr>
            </w:pPr>
            <w:r w:rsidRPr="00CA28DC">
              <w:rPr>
                <w:sz w:val="24"/>
                <w:szCs w:val="24"/>
                <w:lang w:val="lt-LT"/>
              </w:rPr>
              <w:t>19,85%</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590A6E3F" w14:textId="77777777" w:rsidR="00990C62" w:rsidRPr="00CA28DC" w:rsidRDefault="00990C62">
            <w:pPr>
              <w:jc w:val="right"/>
              <w:rPr>
                <w:sz w:val="24"/>
                <w:szCs w:val="24"/>
                <w:lang w:val="lt-LT"/>
              </w:rPr>
            </w:pPr>
            <w:r w:rsidRPr="00CA28DC">
              <w:rPr>
                <w:sz w:val="24"/>
                <w:szCs w:val="24"/>
                <w:lang w:val="lt-LT"/>
              </w:rPr>
              <w:t>27,29%</w:t>
            </w:r>
          </w:p>
        </w:tc>
      </w:tr>
      <w:tr w:rsidR="00990C62" w:rsidRPr="00CA28DC" w14:paraId="376E2FF2" w14:textId="77777777" w:rsidTr="00990C62">
        <w:trPr>
          <w:trHeight w:val="315"/>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742D3CFE" w14:textId="77777777" w:rsidR="00990C62" w:rsidRPr="00CA28DC" w:rsidRDefault="00990C62">
            <w:pPr>
              <w:rPr>
                <w:sz w:val="24"/>
                <w:szCs w:val="24"/>
                <w:lang w:val="lt-LT"/>
              </w:rPr>
            </w:pPr>
            <w:r w:rsidRPr="00CA28DC">
              <w:rPr>
                <w:sz w:val="24"/>
                <w:szCs w:val="24"/>
                <w:lang w:val="lt-LT"/>
              </w:rPr>
              <w:t>Veiklos pelningumas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0689CCBF" w14:textId="77777777" w:rsidR="00990C62" w:rsidRPr="00CA28DC" w:rsidRDefault="00990C62">
            <w:pPr>
              <w:jc w:val="right"/>
              <w:rPr>
                <w:sz w:val="24"/>
                <w:szCs w:val="24"/>
                <w:lang w:val="lt-LT"/>
              </w:rPr>
            </w:pPr>
            <w:r w:rsidRPr="00CA28DC">
              <w:rPr>
                <w:sz w:val="24"/>
                <w:szCs w:val="24"/>
                <w:lang w:val="lt-LT"/>
              </w:rPr>
              <w:t>1,68%</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6F806F9C" w14:textId="77777777" w:rsidR="00990C62" w:rsidRPr="00CA28DC" w:rsidRDefault="00990C62">
            <w:pPr>
              <w:jc w:val="right"/>
              <w:rPr>
                <w:sz w:val="24"/>
                <w:szCs w:val="24"/>
                <w:lang w:val="lt-LT"/>
              </w:rPr>
            </w:pPr>
            <w:r w:rsidRPr="00CA28DC">
              <w:rPr>
                <w:sz w:val="24"/>
                <w:szCs w:val="24"/>
                <w:lang w:val="lt-LT"/>
              </w:rPr>
              <w:t>0,29%</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2D46A4AA" w14:textId="77777777" w:rsidR="00990C62" w:rsidRPr="00CA28DC" w:rsidRDefault="00990C62">
            <w:pPr>
              <w:jc w:val="right"/>
              <w:rPr>
                <w:sz w:val="24"/>
                <w:szCs w:val="24"/>
                <w:lang w:val="lt-LT"/>
              </w:rPr>
            </w:pPr>
            <w:r w:rsidRPr="00CA28DC">
              <w:rPr>
                <w:sz w:val="24"/>
                <w:szCs w:val="24"/>
                <w:lang w:val="lt-LT"/>
              </w:rPr>
              <w:t>2,70%</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0A27E44E" w14:textId="77777777" w:rsidR="00990C62" w:rsidRPr="00CA28DC" w:rsidRDefault="00990C62">
            <w:pPr>
              <w:jc w:val="right"/>
              <w:rPr>
                <w:sz w:val="24"/>
                <w:szCs w:val="24"/>
                <w:lang w:val="lt-LT"/>
              </w:rPr>
            </w:pPr>
            <w:r w:rsidRPr="00CA28DC">
              <w:rPr>
                <w:sz w:val="24"/>
                <w:szCs w:val="24"/>
                <w:lang w:val="lt-LT"/>
              </w:rPr>
              <w:t>8,59%</w:t>
            </w:r>
          </w:p>
        </w:tc>
      </w:tr>
      <w:tr w:rsidR="00990C62" w:rsidRPr="00CA28DC" w14:paraId="66826B14" w14:textId="77777777" w:rsidTr="00990C62">
        <w:trPr>
          <w:trHeight w:val="315"/>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193225D1" w14:textId="77777777" w:rsidR="00990C62" w:rsidRPr="00CA28DC" w:rsidRDefault="00990C62">
            <w:pPr>
              <w:rPr>
                <w:sz w:val="24"/>
                <w:szCs w:val="24"/>
                <w:lang w:val="lt-LT"/>
              </w:rPr>
            </w:pPr>
            <w:r w:rsidRPr="00CA28DC">
              <w:rPr>
                <w:sz w:val="24"/>
                <w:szCs w:val="24"/>
                <w:lang w:val="lt-LT"/>
              </w:rPr>
              <w:t>Grynasis pelningumas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33E180AB" w14:textId="77777777" w:rsidR="00990C62" w:rsidRPr="00CA28DC" w:rsidRDefault="00990C62">
            <w:pPr>
              <w:jc w:val="right"/>
              <w:rPr>
                <w:sz w:val="24"/>
                <w:szCs w:val="24"/>
                <w:lang w:val="lt-LT"/>
              </w:rPr>
            </w:pPr>
            <w:r w:rsidRPr="00CA28DC">
              <w:rPr>
                <w:sz w:val="24"/>
                <w:szCs w:val="24"/>
                <w:lang w:val="lt-LT"/>
              </w:rPr>
              <w:t>1,54%</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6D11ED5F" w14:textId="77777777" w:rsidR="00990C62" w:rsidRPr="00CA28DC" w:rsidRDefault="00990C62">
            <w:pPr>
              <w:jc w:val="right"/>
              <w:rPr>
                <w:sz w:val="24"/>
                <w:szCs w:val="24"/>
                <w:lang w:val="lt-LT"/>
              </w:rPr>
            </w:pPr>
            <w:r w:rsidRPr="00CA28DC">
              <w:rPr>
                <w:sz w:val="24"/>
                <w:szCs w:val="24"/>
                <w:lang w:val="lt-LT"/>
              </w:rPr>
              <w:t>2,09%</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63CC39C4" w14:textId="77777777" w:rsidR="00990C62" w:rsidRPr="00CA28DC" w:rsidRDefault="00990C62">
            <w:pPr>
              <w:jc w:val="right"/>
              <w:rPr>
                <w:sz w:val="24"/>
                <w:szCs w:val="24"/>
                <w:lang w:val="lt-LT"/>
              </w:rPr>
            </w:pPr>
            <w:r w:rsidRPr="00CA28DC">
              <w:rPr>
                <w:sz w:val="24"/>
                <w:szCs w:val="24"/>
                <w:lang w:val="lt-LT"/>
              </w:rPr>
              <w:t>2,72%</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2CD0EF8B" w14:textId="77777777" w:rsidR="00990C62" w:rsidRPr="00CA28DC" w:rsidRDefault="00990C62">
            <w:pPr>
              <w:jc w:val="right"/>
              <w:rPr>
                <w:sz w:val="24"/>
                <w:szCs w:val="24"/>
                <w:lang w:val="lt-LT"/>
              </w:rPr>
            </w:pPr>
            <w:r w:rsidRPr="00CA28DC">
              <w:rPr>
                <w:sz w:val="24"/>
                <w:szCs w:val="24"/>
                <w:lang w:val="lt-LT"/>
              </w:rPr>
              <w:t>7,92%</w:t>
            </w:r>
          </w:p>
        </w:tc>
      </w:tr>
      <w:tr w:rsidR="00990C62" w:rsidRPr="00CA28DC" w14:paraId="26429BC6" w14:textId="77777777" w:rsidTr="00990C62">
        <w:trPr>
          <w:trHeight w:val="377"/>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3452D853" w14:textId="77777777" w:rsidR="00990C62" w:rsidRPr="00CA28DC" w:rsidRDefault="00990C62">
            <w:pPr>
              <w:rPr>
                <w:sz w:val="24"/>
                <w:szCs w:val="24"/>
                <w:lang w:val="lt-LT"/>
              </w:rPr>
            </w:pPr>
            <w:r w:rsidRPr="00CA28DC">
              <w:rPr>
                <w:sz w:val="24"/>
                <w:szCs w:val="24"/>
                <w:lang w:val="lt-LT"/>
              </w:rPr>
              <w:t>EBIT pelningumas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6941BDDE" w14:textId="77777777" w:rsidR="00990C62" w:rsidRPr="00CA28DC" w:rsidRDefault="00990C62">
            <w:pPr>
              <w:jc w:val="right"/>
              <w:rPr>
                <w:sz w:val="24"/>
                <w:szCs w:val="24"/>
                <w:lang w:val="lt-LT"/>
              </w:rPr>
            </w:pPr>
            <w:r w:rsidRPr="00CA28DC">
              <w:rPr>
                <w:sz w:val="24"/>
                <w:szCs w:val="24"/>
                <w:lang w:val="lt-LT"/>
              </w:rPr>
              <w:t>1,97%</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1A1DE610" w14:textId="77777777" w:rsidR="00990C62" w:rsidRPr="00CA28DC" w:rsidRDefault="00990C62">
            <w:pPr>
              <w:jc w:val="right"/>
              <w:rPr>
                <w:sz w:val="24"/>
                <w:szCs w:val="24"/>
                <w:lang w:val="lt-LT"/>
              </w:rPr>
            </w:pPr>
            <w:r w:rsidRPr="00CA28DC">
              <w:rPr>
                <w:sz w:val="24"/>
                <w:szCs w:val="24"/>
                <w:lang w:val="lt-LT"/>
              </w:rPr>
              <w:t>2,34%</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080FA352" w14:textId="77777777" w:rsidR="00990C62" w:rsidRPr="00CA28DC" w:rsidRDefault="00990C62">
            <w:pPr>
              <w:jc w:val="right"/>
              <w:rPr>
                <w:sz w:val="24"/>
                <w:szCs w:val="24"/>
                <w:lang w:val="lt-LT"/>
              </w:rPr>
            </w:pPr>
            <w:r w:rsidRPr="00CA28DC">
              <w:rPr>
                <w:sz w:val="24"/>
                <w:szCs w:val="24"/>
                <w:lang w:val="lt-LT"/>
              </w:rPr>
              <w:t>3,27%</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5AF93A68" w14:textId="77777777" w:rsidR="00990C62" w:rsidRPr="00CA28DC" w:rsidRDefault="00990C62">
            <w:pPr>
              <w:jc w:val="right"/>
              <w:rPr>
                <w:sz w:val="24"/>
                <w:szCs w:val="24"/>
                <w:lang w:val="lt-LT"/>
              </w:rPr>
            </w:pPr>
            <w:r w:rsidRPr="00CA28DC">
              <w:rPr>
                <w:sz w:val="24"/>
                <w:szCs w:val="24"/>
                <w:lang w:val="lt-LT"/>
              </w:rPr>
              <w:t>9,40%</w:t>
            </w:r>
          </w:p>
        </w:tc>
      </w:tr>
      <w:tr w:rsidR="00990C62" w:rsidRPr="00CA28DC" w14:paraId="4887D6AE" w14:textId="77777777" w:rsidTr="00990C62">
        <w:trPr>
          <w:trHeight w:val="412"/>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645EB54C" w14:textId="77777777" w:rsidR="00990C62" w:rsidRPr="00CA28DC" w:rsidRDefault="00990C62">
            <w:pPr>
              <w:rPr>
                <w:sz w:val="24"/>
                <w:szCs w:val="24"/>
                <w:lang w:val="lt-LT"/>
              </w:rPr>
            </w:pPr>
            <w:r w:rsidRPr="00CA28DC">
              <w:rPr>
                <w:sz w:val="24"/>
                <w:szCs w:val="24"/>
                <w:lang w:val="lt-LT"/>
              </w:rPr>
              <w:t>EBITDA pelningumas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205E118F" w14:textId="77777777" w:rsidR="00990C62" w:rsidRPr="00CA28DC" w:rsidRDefault="00990C62">
            <w:pPr>
              <w:jc w:val="right"/>
              <w:rPr>
                <w:sz w:val="24"/>
                <w:szCs w:val="24"/>
                <w:lang w:val="lt-LT"/>
              </w:rPr>
            </w:pPr>
            <w:r w:rsidRPr="00CA28DC">
              <w:rPr>
                <w:sz w:val="24"/>
                <w:szCs w:val="24"/>
                <w:lang w:val="lt-LT"/>
              </w:rPr>
              <w:t>2,72%</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53D45278" w14:textId="77777777" w:rsidR="00990C62" w:rsidRPr="00CA28DC" w:rsidRDefault="00990C62">
            <w:pPr>
              <w:jc w:val="right"/>
              <w:rPr>
                <w:sz w:val="24"/>
                <w:szCs w:val="24"/>
                <w:lang w:val="lt-LT"/>
              </w:rPr>
            </w:pPr>
            <w:r w:rsidRPr="00CA28DC">
              <w:rPr>
                <w:sz w:val="24"/>
                <w:szCs w:val="24"/>
                <w:lang w:val="lt-LT"/>
              </w:rPr>
              <w:t>2,87%</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136CB64A" w14:textId="77777777" w:rsidR="00990C62" w:rsidRPr="00CA28DC" w:rsidRDefault="00990C62">
            <w:pPr>
              <w:jc w:val="right"/>
              <w:rPr>
                <w:sz w:val="24"/>
                <w:szCs w:val="24"/>
                <w:lang w:val="lt-LT"/>
              </w:rPr>
            </w:pPr>
            <w:r w:rsidRPr="00CA28DC">
              <w:rPr>
                <w:sz w:val="24"/>
                <w:szCs w:val="24"/>
                <w:lang w:val="lt-LT"/>
              </w:rPr>
              <w:t>3,66%</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4C99EF8D" w14:textId="77777777" w:rsidR="00990C62" w:rsidRPr="00CA28DC" w:rsidRDefault="00990C62">
            <w:pPr>
              <w:jc w:val="right"/>
              <w:rPr>
                <w:sz w:val="24"/>
                <w:szCs w:val="24"/>
                <w:lang w:val="lt-LT"/>
              </w:rPr>
            </w:pPr>
            <w:r w:rsidRPr="00CA28DC">
              <w:rPr>
                <w:sz w:val="24"/>
                <w:szCs w:val="24"/>
                <w:lang w:val="lt-LT"/>
              </w:rPr>
              <w:t>9,77%</w:t>
            </w:r>
          </w:p>
        </w:tc>
      </w:tr>
      <w:tr w:rsidR="00990C62" w:rsidRPr="00CA28DC" w14:paraId="312B3950" w14:textId="77777777" w:rsidTr="00990C62">
        <w:trPr>
          <w:trHeight w:val="406"/>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1E439E9D" w14:textId="77777777" w:rsidR="00990C62" w:rsidRPr="00CA28DC" w:rsidRDefault="00990C62">
            <w:pPr>
              <w:rPr>
                <w:sz w:val="24"/>
                <w:szCs w:val="24"/>
                <w:lang w:val="lt-LT"/>
              </w:rPr>
            </w:pPr>
            <w:r w:rsidRPr="00CA28DC">
              <w:rPr>
                <w:sz w:val="24"/>
                <w:szCs w:val="24"/>
                <w:lang w:val="lt-LT"/>
              </w:rPr>
              <w:t>Nuosavo kapitalo grąža</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2328B8DD" w14:textId="77777777" w:rsidR="00990C62" w:rsidRPr="00CA28DC" w:rsidRDefault="00990C62">
            <w:pPr>
              <w:jc w:val="right"/>
              <w:rPr>
                <w:sz w:val="24"/>
                <w:szCs w:val="24"/>
                <w:lang w:val="lt-LT"/>
              </w:rPr>
            </w:pPr>
            <w:r w:rsidRPr="00CA28DC">
              <w:rPr>
                <w:sz w:val="24"/>
                <w:szCs w:val="24"/>
                <w:lang w:val="lt-LT"/>
              </w:rPr>
              <w:t>4,30%</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6C48C93A" w14:textId="77777777" w:rsidR="00990C62" w:rsidRPr="00CA28DC" w:rsidRDefault="00990C62">
            <w:pPr>
              <w:jc w:val="right"/>
              <w:rPr>
                <w:sz w:val="24"/>
                <w:szCs w:val="24"/>
                <w:lang w:val="lt-LT"/>
              </w:rPr>
            </w:pPr>
            <w:r w:rsidRPr="00CA28DC">
              <w:rPr>
                <w:sz w:val="24"/>
                <w:szCs w:val="24"/>
                <w:lang w:val="lt-LT"/>
              </w:rPr>
              <w:t>5,65%</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3F5CB932" w14:textId="77777777" w:rsidR="00990C62" w:rsidRPr="00CA28DC" w:rsidRDefault="00990C62">
            <w:pPr>
              <w:jc w:val="right"/>
              <w:rPr>
                <w:sz w:val="24"/>
                <w:szCs w:val="24"/>
                <w:lang w:val="lt-LT"/>
              </w:rPr>
            </w:pPr>
            <w:r w:rsidRPr="00CA28DC">
              <w:rPr>
                <w:sz w:val="24"/>
                <w:szCs w:val="24"/>
                <w:lang w:val="lt-LT"/>
              </w:rPr>
              <w:t>7,01%</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63398835" w14:textId="77777777" w:rsidR="00990C62" w:rsidRPr="00CA28DC" w:rsidRDefault="00990C62">
            <w:pPr>
              <w:jc w:val="right"/>
              <w:rPr>
                <w:sz w:val="24"/>
                <w:szCs w:val="24"/>
                <w:lang w:val="lt-LT"/>
              </w:rPr>
            </w:pPr>
            <w:r w:rsidRPr="00CA28DC">
              <w:rPr>
                <w:sz w:val="24"/>
                <w:szCs w:val="24"/>
                <w:lang w:val="lt-LT"/>
              </w:rPr>
              <w:t>18,25%</w:t>
            </w:r>
          </w:p>
        </w:tc>
      </w:tr>
      <w:tr w:rsidR="00990C62" w:rsidRPr="00CA28DC" w14:paraId="25C0D27C" w14:textId="77777777" w:rsidTr="00990C62">
        <w:trPr>
          <w:trHeight w:val="330"/>
        </w:trPr>
        <w:tc>
          <w:tcPr>
            <w:tcW w:w="4810" w:type="dxa"/>
            <w:tcBorders>
              <w:top w:val="nil"/>
              <w:left w:val="single" w:sz="8" w:space="0" w:color="auto"/>
              <w:bottom w:val="single" w:sz="8" w:space="0" w:color="auto"/>
              <w:right w:val="single" w:sz="4" w:space="0" w:color="auto"/>
            </w:tcBorders>
            <w:shd w:val="clear" w:color="auto" w:fill="FFFFFF"/>
            <w:noWrap/>
            <w:vAlign w:val="bottom"/>
            <w:hideMark/>
          </w:tcPr>
          <w:p w14:paraId="624286A8" w14:textId="77777777" w:rsidR="00990C62" w:rsidRPr="00CA28DC" w:rsidRDefault="00990C62">
            <w:pPr>
              <w:rPr>
                <w:sz w:val="24"/>
                <w:szCs w:val="24"/>
                <w:lang w:val="lt-LT"/>
              </w:rPr>
            </w:pPr>
            <w:r w:rsidRPr="00CA28DC">
              <w:rPr>
                <w:sz w:val="24"/>
                <w:szCs w:val="24"/>
                <w:lang w:val="lt-LT"/>
              </w:rPr>
              <w:t>Turto grąža</w:t>
            </w:r>
          </w:p>
        </w:tc>
        <w:tc>
          <w:tcPr>
            <w:tcW w:w="307" w:type="dxa"/>
            <w:tcBorders>
              <w:top w:val="single" w:sz="4" w:space="0" w:color="auto"/>
              <w:left w:val="nil"/>
              <w:bottom w:val="single" w:sz="8" w:space="0" w:color="auto"/>
              <w:right w:val="single" w:sz="4" w:space="0" w:color="auto"/>
            </w:tcBorders>
            <w:shd w:val="clear" w:color="auto" w:fill="FFFFFF"/>
            <w:noWrap/>
            <w:vAlign w:val="bottom"/>
            <w:hideMark/>
          </w:tcPr>
          <w:p w14:paraId="2D34B7A5" w14:textId="77777777" w:rsidR="00990C62" w:rsidRPr="00CA28DC" w:rsidRDefault="00990C62">
            <w:pPr>
              <w:jc w:val="right"/>
              <w:rPr>
                <w:sz w:val="24"/>
                <w:szCs w:val="24"/>
                <w:lang w:val="lt-LT"/>
              </w:rPr>
            </w:pPr>
            <w:r w:rsidRPr="00CA28DC">
              <w:rPr>
                <w:sz w:val="24"/>
                <w:szCs w:val="24"/>
                <w:lang w:val="lt-LT"/>
              </w:rPr>
              <w:t>1,57%</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5A75FBE6" w14:textId="77777777" w:rsidR="00990C62" w:rsidRPr="00CA28DC" w:rsidRDefault="00990C62">
            <w:pPr>
              <w:jc w:val="right"/>
              <w:rPr>
                <w:sz w:val="24"/>
                <w:szCs w:val="24"/>
                <w:lang w:val="lt-LT"/>
              </w:rPr>
            </w:pPr>
            <w:r w:rsidRPr="00CA28DC">
              <w:rPr>
                <w:sz w:val="24"/>
                <w:szCs w:val="24"/>
                <w:lang w:val="lt-LT"/>
              </w:rPr>
              <w:t>2,23%</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7B4D80EA" w14:textId="77777777" w:rsidR="00990C62" w:rsidRPr="00CA28DC" w:rsidRDefault="00990C62">
            <w:pPr>
              <w:jc w:val="right"/>
              <w:rPr>
                <w:sz w:val="24"/>
                <w:szCs w:val="24"/>
                <w:lang w:val="lt-LT"/>
              </w:rPr>
            </w:pPr>
            <w:r w:rsidRPr="00CA28DC">
              <w:rPr>
                <w:sz w:val="24"/>
                <w:szCs w:val="24"/>
                <w:lang w:val="lt-LT"/>
              </w:rPr>
              <w:t>2,91%</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67579375" w14:textId="77777777" w:rsidR="00990C62" w:rsidRPr="00CA28DC" w:rsidRDefault="00990C62">
            <w:pPr>
              <w:jc w:val="right"/>
              <w:rPr>
                <w:sz w:val="24"/>
                <w:szCs w:val="24"/>
                <w:lang w:val="lt-LT"/>
              </w:rPr>
            </w:pPr>
            <w:r w:rsidRPr="00CA28DC">
              <w:rPr>
                <w:sz w:val="24"/>
                <w:szCs w:val="24"/>
                <w:lang w:val="lt-LT"/>
              </w:rPr>
              <w:t>7,82%</w:t>
            </w:r>
          </w:p>
        </w:tc>
      </w:tr>
      <w:tr w:rsidR="00990C62" w:rsidRPr="00CA28DC" w14:paraId="652614E2" w14:textId="77777777" w:rsidTr="00990C62">
        <w:trPr>
          <w:trHeight w:val="330"/>
        </w:trPr>
        <w:tc>
          <w:tcPr>
            <w:tcW w:w="4810" w:type="dxa"/>
            <w:tcBorders>
              <w:top w:val="nil"/>
              <w:left w:val="single" w:sz="8" w:space="0" w:color="auto"/>
              <w:bottom w:val="single" w:sz="4" w:space="0" w:color="auto"/>
              <w:right w:val="single" w:sz="4" w:space="0" w:color="auto"/>
            </w:tcBorders>
            <w:shd w:val="clear" w:color="auto" w:fill="4F81BD"/>
            <w:noWrap/>
            <w:vAlign w:val="center"/>
            <w:hideMark/>
          </w:tcPr>
          <w:p w14:paraId="7157B6DC" w14:textId="77777777" w:rsidR="00990C62" w:rsidRPr="00CA28DC" w:rsidRDefault="00990C62">
            <w:pPr>
              <w:rPr>
                <w:b/>
                <w:bCs/>
                <w:sz w:val="24"/>
                <w:szCs w:val="24"/>
                <w:lang w:val="lt-LT"/>
              </w:rPr>
            </w:pPr>
            <w:r w:rsidRPr="00CA28DC">
              <w:rPr>
                <w:b/>
                <w:bCs/>
                <w:sz w:val="24"/>
                <w:szCs w:val="24"/>
                <w:lang w:val="lt-LT"/>
              </w:rPr>
              <w:t>Likvidumo rodikliai</w:t>
            </w:r>
          </w:p>
        </w:tc>
        <w:tc>
          <w:tcPr>
            <w:tcW w:w="307" w:type="dxa"/>
            <w:tcBorders>
              <w:top w:val="nil"/>
              <w:left w:val="nil"/>
              <w:bottom w:val="single" w:sz="4" w:space="0" w:color="auto"/>
              <w:right w:val="single" w:sz="4" w:space="0" w:color="auto"/>
            </w:tcBorders>
            <w:shd w:val="clear" w:color="auto" w:fill="4F81BD"/>
            <w:noWrap/>
            <w:vAlign w:val="bottom"/>
            <w:hideMark/>
          </w:tcPr>
          <w:p w14:paraId="4D0F11A1" w14:textId="77777777" w:rsidR="00990C62" w:rsidRPr="00CA28DC" w:rsidRDefault="00990C62">
            <w:pPr>
              <w:jc w:val="right"/>
              <w:rPr>
                <w:b/>
                <w:bCs/>
                <w:sz w:val="24"/>
                <w:szCs w:val="24"/>
                <w:lang w:val="lt-LT"/>
              </w:rPr>
            </w:pPr>
            <w:r w:rsidRPr="00CA28DC">
              <w:rPr>
                <w:b/>
                <w:bCs/>
                <w:sz w:val="24"/>
                <w:szCs w:val="24"/>
                <w:lang w:val="lt-LT"/>
              </w:rPr>
              <w:t>2017</w:t>
            </w:r>
          </w:p>
        </w:tc>
        <w:tc>
          <w:tcPr>
            <w:tcW w:w="1030" w:type="dxa"/>
            <w:tcBorders>
              <w:top w:val="nil"/>
              <w:left w:val="nil"/>
              <w:bottom w:val="single" w:sz="4" w:space="0" w:color="auto"/>
              <w:right w:val="single" w:sz="4" w:space="0" w:color="auto"/>
            </w:tcBorders>
            <w:shd w:val="clear" w:color="auto" w:fill="4F81BD"/>
            <w:noWrap/>
            <w:vAlign w:val="bottom"/>
            <w:hideMark/>
          </w:tcPr>
          <w:p w14:paraId="56242321" w14:textId="77777777" w:rsidR="00990C62" w:rsidRPr="00CA28DC" w:rsidRDefault="00990C62">
            <w:pPr>
              <w:jc w:val="right"/>
              <w:rPr>
                <w:b/>
                <w:bCs/>
                <w:sz w:val="24"/>
                <w:szCs w:val="24"/>
                <w:lang w:val="lt-LT"/>
              </w:rPr>
            </w:pPr>
            <w:r w:rsidRPr="00CA28DC">
              <w:rPr>
                <w:b/>
                <w:bCs/>
                <w:sz w:val="24"/>
                <w:szCs w:val="24"/>
                <w:lang w:val="lt-LT"/>
              </w:rPr>
              <w:t>2018</w:t>
            </w:r>
          </w:p>
        </w:tc>
        <w:tc>
          <w:tcPr>
            <w:tcW w:w="1030" w:type="dxa"/>
            <w:tcBorders>
              <w:top w:val="nil"/>
              <w:left w:val="nil"/>
              <w:bottom w:val="single" w:sz="4" w:space="0" w:color="auto"/>
              <w:right w:val="single" w:sz="4" w:space="0" w:color="auto"/>
            </w:tcBorders>
            <w:shd w:val="clear" w:color="auto" w:fill="4F81BD"/>
            <w:noWrap/>
            <w:vAlign w:val="bottom"/>
            <w:hideMark/>
          </w:tcPr>
          <w:p w14:paraId="43649A6E" w14:textId="77777777" w:rsidR="00990C62" w:rsidRPr="00CA28DC" w:rsidRDefault="00990C62">
            <w:pPr>
              <w:jc w:val="right"/>
              <w:rPr>
                <w:b/>
                <w:bCs/>
                <w:sz w:val="24"/>
                <w:szCs w:val="24"/>
                <w:lang w:val="lt-LT"/>
              </w:rPr>
            </w:pPr>
            <w:r w:rsidRPr="00CA28DC">
              <w:rPr>
                <w:b/>
                <w:bCs/>
                <w:sz w:val="24"/>
                <w:szCs w:val="24"/>
                <w:lang w:val="lt-LT"/>
              </w:rPr>
              <w:t>2019</w:t>
            </w:r>
          </w:p>
        </w:tc>
        <w:tc>
          <w:tcPr>
            <w:tcW w:w="1030" w:type="dxa"/>
            <w:tcBorders>
              <w:top w:val="nil"/>
              <w:left w:val="nil"/>
              <w:bottom w:val="single" w:sz="4" w:space="0" w:color="auto"/>
              <w:right w:val="single" w:sz="4" w:space="0" w:color="auto"/>
            </w:tcBorders>
            <w:shd w:val="clear" w:color="auto" w:fill="4F81BD"/>
            <w:noWrap/>
            <w:vAlign w:val="bottom"/>
            <w:hideMark/>
          </w:tcPr>
          <w:p w14:paraId="058547F4" w14:textId="77777777" w:rsidR="00990C62" w:rsidRPr="00CA28DC" w:rsidRDefault="00990C62">
            <w:pPr>
              <w:jc w:val="right"/>
              <w:rPr>
                <w:b/>
                <w:bCs/>
                <w:sz w:val="24"/>
                <w:szCs w:val="24"/>
                <w:lang w:val="lt-LT"/>
              </w:rPr>
            </w:pPr>
            <w:r w:rsidRPr="00CA28DC">
              <w:rPr>
                <w:b/>
                <w:bCs/>
                <w:sz w:val="24"/>
                <w:szCs w:val="24"/>
                <w:lang w:val="lt-LT"/>
              </w:rPr>
              <w:t>2020</w:t>
            </w:r>
          </w:p>
        </w:tc>
      </w:tr>
      <w:tr w:rsidR="00990C62" w:rsidRPr="00CA28DC" w14:paraId="28BBF757" w14:textId="77777777" w:rsidTr="00990C62">
        <w:trPr>
          <w:trHeight w:val="449"/>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00FC199E" w14:textId="77777777" w:rsidR="00990C62" w:rsidRPr="00CA28DC" w:rsidRDefault="00990C62">
            <w:pPr>
              <w:rPr>
                <w:sz w:val="24"/>
                <w:szCs w:val="24"/>
                <w:lang w:val="lt-LT"/>
              </w:rPr>
            </w:pPr>
            <w:r w:rsidRPr="00CA28DC">
              <w:rPr>
                <w:sz w:val="24"/>
                <w:szCs w:val="24"/>
                <w:lang w:val="lt-LT"/>
              </w:rPr>
              <w:t>Bendrasis padengimo koeficientas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626F6B02" w14:textId="77777777" w:rsidR="00990C62" w:rsidRPr="00CA28DC" w:rsidRDefault="00990C62">
            <w:pPr>
              <w:jc w:val="right"/>
              <w:rPr>
                <w:sz w:val="24"/>
                <w:szCs w:val="24"/>
                <w:lang w:val="lt-LT"/>
              </w:rPr>
            </w:pPr>
            <w:r w:rsidRPr="00CA28DC">
              <w:rPr>
                <w:sz w:val="24"/>
                <w:szCs w:val="24"/>
                <w:lang w:val="lt-LT"/>
              </w:rPr>
              <w:t>1,54</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676916CC" w14:textId="77777777" w:rsidR="00990C62" w:rsidRPr="00CA28DC" w:rsidRDefault="00990C62">
            <w:pPr>
              <w:jc w:val="right"/>
              <w:rPr>
                <w:sz w:val="24"/>
                <w:szCs w:val="24"/>
                <w:lang w:val="lt-LT"/>
              </w:rPr>
            </w:pPr>
            <w:r w:rsidRPr="00CA28DC">
              <w:rPr>
                <w:sz w:val="24"/>
                <w:szCs w:val="24"/>
                <w:lang w:val="lt-LT"/>
              </w:rPr>
              <w:t>1,62</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459C8B11" w14:textId="77777777" w:rsidR="00990C62" w:rsidRPr="00CA28DC" w:rsidRDefault="00990C62">
            <w:pPr>
              <w:jc w:val="right"/>
              <w:rPr>
                <w:sz w:val="24"/>
                <w:szCs w:val="24"/>
                <w:lang w:val="lt-LT"/>
              </w:rPr>
            </w:pPr>
            <w:r w:rsidRPr="00CA28DC">
              <w:rPr>
                <w:sz w:val="24"/>
                <w:szCs w:val="24"/>
                <w:lang w:val="lt-LT"/>
              </w:rPr>
              <w:t>1,69</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218FE7CA" w14:textId="77777777" w:rsidR="00990C62" w:rsidRPr="00CA28DC" w:rsidRDefault="00990C62">
            <w:pPr>
              <w:jc w:val="right"/>
              <w:rPr>
                <w:sz w:val="24"/>
                <w:szCs w:val="24"/>
                <w:lang w:val="lt-LT"/>
              </w:rPr>
            </w:pPr>
            <w:r w:rsidRPr="00CA28DC">
              <w:rPr>
                <w:sz w:val="24"/>
                <w:szCs w:val="24"/>
                <w:lang w:val="lt-LT"/>
              </w:rPr>
              <w:t>1,72</w:t>
            </w:r>
          </w:p>
        </w:tc>
      </w:tr>
      <w:tr w:rsidR="00990C62" w:rsidRPr="00CA28DC" w14:paraId="01AE30E5" w14:textId="77777777" w:rsidTr="00990C62">
        <w:trPr>
          <w:trHeight w:val="413"/>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4E0C9EF8" w14:textId="77777777" w:rsidR="00990C62" w:rsidRPr="00CA28DC" w:rsidRDefault="00990C62">
            <w:pPr>
              <w:rPr>
                <w:sz w:val="24"/>
                <w:szCs w:val="24"/>
                <w:lang w:val="lt-LT"/>
              </w:rPr>
            </w:pPr>
            <w:r w:rsidRPr="00CA28DC">
              <w:rPr>
                <w:sz w:val="24"/>
                <w:szCs w:val="24"/>
                <w:lang w:val="lt-LT"/>
              </w:rPr>
              <w:t>Skubaus padengimo koeficientas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553B6C2E" w14:textId="77777777" w:rsidR="00990C62" w:rsidRPr="00CA28DC" w:rsidRDefault="00990C62">
            <w:pPr>
              <w:jc w:val="right"/>
              <w:rPr>
                <w:sz w:val="24"/>
                <w:szCs w:val="24"/>
                <w:lang w:val="lt-LT"/>
              </w:rPr>
            </w:pPr>
            <w:r w:rsidRPr="00CA28DC">
              <w:rPr>
                <w:sz w:val="24"/>
                <w:szCs w:val="24"/>
                <w:lang w:val="lt-LT"/>
              </w:rPr>
              <w:t>1,53</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63B2039D" w14:textId="77777777" w:rsidR="00990C62" w:rsidRPr="00CA28DC" w:rsidRDefault="00990C62">
            <w:pPr>
              <w:jc w:val="right"/>
              <w:rPr>
                <w:sz w:val="24"/>
                <w:szCs w:val="24"/>
                <w:lang w:val="lt-LT"/>
              </w:rPr>
            </w:pPr>
            <w:r w:rsidRPr="00CA28DC">
              <w:rPr>
                <w:sz w:val="24"/>
                <w:szCs w:val="24"/>
                <w:lang w:val="lt-LT"/>
              </w:rPr>
              <w:t>1,61</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3F41953F" w14:textId="77777777" w:rsidR="00990C62" w:rsidRPr="00CA28DC" w:rsidRDefault="00990C62">
            <w:pPr>
              <w:jc w:val="right"/>
              <w:rPr>
                <w:sz w:val="24"/>
                <w:szCs w:val="24"/>
                <w:lang w:val="lt-LT"/>
              </w:rPr>
            </w:pPr>
            <w:r w:rsidRPr="00CA28DC">
              <w:rPr>
                <w:sz w:val="24"/>
                <w:szCs w:val="24"/>
                <w:lang w:val="lt-LT"/>
              </w:rPr>
              <w:t>1,67</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52076B5A" w14:textId="77777777" w:rsidR="00990C62" w:rsidRPr="00CA28DC" w:rsidRDefault="00990C62">
            <w:pPr>
              <w:jc w:val="right"/>
              <w:rPr>
                <w:sz w:val="24"/>
                <w:szCs w:val="24"/>
                <w:lang w:val="lt-LT"/>
              </w:rPr>
            </w:pPr>
            <w:r w:rsidRPr="00CA28DC">
              <w:rPr>
                <w:sz w:val="24"/>
                <w:szCs w:val="24"/>
                <w:lang w:val="lt-LT"/>
              </w:rPr>
              <w:t>1,71</w:t>
            </w:r>
          </w:p>
        </w:tc>
      </w:tr>
      <w:tr w:rsidR="00990C62" w:rsidRPr="00CA28DC" w14:paraId="0300374D" w14:textId="77777777" w:rsidTr="00990C62">
        <w:trPr>
          <w:trHeight w:val="419"/>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12966276" w14:textId="77777777" w:rsidR="00990C62" w:rsidRPr="00CA28DC" w:rsidRDefault="00990C62">
            <w:pPr>
              <w:rPr>
                <w:sz w:val="24"/>
                <w:szCs w:val="24"/>
                <w:lang w:val="lt-LT"/>
              </w:rPr>
            </w:pPr>
            <w:r w:rsidRPr="00CA28DC">
              <w:rPr>
                <w:sz w:val="24"/>
                <w:szCs w:val="24"/>
                <w:lang w:val="lt-LT"/>
              </w:rPr>
              <w:t>Pinigų padengimo koeficientas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2E4C1539" w14:textId="77777777" w:rsidR="00990C62" w:rsidRPr="00CA28DC" w:rsidRDefault="00990C62">
            <w:pPr>
              <w:jc w:val="right"/>
              <w:rPr>
                <w:sz w:val="24"/>
                <w:szCs w:val="24"/>
                <w:lang w:val="lt-LT"/>
              </w:rPr>
            </w:pPr>
            <w:r w:rsidRPr="00CA28DC">
              <w:rPr>
                <w:sz w:val="24"/>
                <w:szCs w:val="24"/>
                <w:lang w:val="lt-LT"/>
              </w:rPr>
              <w:t>1,07</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37D6F9B5" w14:textId="77777777" w:rsidR="00990C62" w:rsidRPr="00CA28DC" w:rsidRDefault="00990C62">
            <w:pPr>
              <w:jc w:val="right"/>
              <w:rPr>
                <w:sz w:val="24"/>
                <w:szCs w:val="24"/>
                <w:lang w:val="lt-LT"/>
              </w:rPr>
            </w:pPr>
            <w:r w:rsidRPr="00CA28DC">
              <w:rPr>
                <w:sz w:val="24"/>
                <w:szCs w:val="24"/>
                <w:lang w:val="lt-LT"/>
              </w:rPr>
              <w:t>1,11</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4D3671F7" w14:textId="77777777" w:rsidR="00990C62" w:rsidRPr="00CA28DC" w:rsidRDefault="00990C62">
            <w:pPr>
              <w:jc w:val="right"/>
              <w:rPr>
                <w:sz w:val="24"/>
                <w:szCs w:val="24"/>
                <w:lang w:val="lt-LT"/>
              </w:rPr>
            </w:pPr>
            <w:r w:rsidRPr="00CA28DC">
              <w:rPr>
                <w:sz w:val="24"/>
                <w:szCs w:val="24"/>
                <w:lang w:val="lt-LT"/>
              </w:rPr>
              <w:t>1,14</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3CBEE912" w14:textId="77777777" w:rsidR="00990C62" w:rsidRPr="00CA28DC" w:rsidRDefault="00990C62">
            <w:pPr>
              <w:jc w:val="right"/>
              <w:rPr>
                <w:sz w:val="24"/>
                <w:szCs w:val="24"/>
                <w:lang w:val="lt-LT"/>
              </w:rPr>
            </w:pPr>
            <w:r w:rsidRPr="00CA28DC">
              <w:rPr>
                <w:sz w:val="24"/>
                <w:szCs w:val="24"/>
                <w:lang w:val="lt-LT"/>
              </w:rPr>
              <w:t>1,23</w:t>
            </w:r>
          </w:p>
        </w:tc>
      </w:tr>
      <w:tr w:rsidR="00990C62" w:rsidRPr="00CA28DC" w14:paraId="0247252C" w14:textId="77777777" w:rsidTr="00990C62">
        <w:trPr>
          <w:trHeight w:val="411"/>
        </w:trPr>
        <w:tc>
          <w:tcPr>
            <w:tcW w:w="4810" w:type="dxa"/>
            <w:tcBorders>
              <w:top w:val="nil"/>
              <w:left w:val="single" w:sz="8" w:space="0" w:color="auto"/>
              <w:bottom w:val="nil"/>
              <w:right w:val="single" w:sz="4" w:space="0" w:color="auto"/>
            </w:tcBorders>
            <w:shd w:val="clear" w:color="auto" w:fill="FFFFFF"/>
            <w:noWrap/>
            <w:vAlign w:val="bottom"/>
            <w:hideMark/>
          </w:tcPr>
          <w:p w14:paraId="3A563DB2" w14:textId="77777777" w:rsidR="00990C62" w:rsidRPr="00CA28DC" w:rsidRDefault="00990C62">
            <w:pPr>
              <w:rPr>
                <w:sz w:val="24"/>
                <w:szCs w:val="24"/>
                <w:lang w:val="lt-LT"/>
              </w:rPr>
            </w:pPr>
            <w:r w:rsidRPr="00CA28DC">
              <w:rPr>
                <w:sz w:val="24"/>
                <w:szCs w:val="24"/>
                <w:lang w:val="lt-LT"/>
              </w:rPr>
              <w:t>Apyvartinio kapitalo ir turto santykis</w:t>
            </w:r>
          </w:p>
        </w:tc>
        <w:tc>
          <w:tcPr>
            <w:tcW w:w="307" w:type="dxa"/>
            <w:tcBorders>
              <w:top w:val="single" w:sz="4" w:space="0" w:color="auto"/>
              <w:left w:val="nil"/>
              <w:bottom w:val="single" w:sz="8" w:space="0" w:color="auto"/>
              <w:right w:val="single" w:sz="4" w:space="0" w:color="auto"/>
            </w:tcBorders>
            <w:shd w:val="clear" w:color="auto" w:fill="FFFFFF"/>
            <w:noWrap/>
            <w:vAlign w:val="bottom"/>
            <w:hideMark/>
          </w:tcPr>
          <w:p w14:paraId="19899C67" w14:textId="77777777" w:rsidR="00990C62" w:rsidRPr="00CA28DC" w:rsidRDefault="00990C62">
            <w:pPr>
              <w:jc w:val="right"/>
              <w:rPr>
                <w:sz w:val="24"/>
                <w:szCs w:val="24"/>
                <w:lang w:val="lt-LT"/>
              </w:rPr>
            </w:pPr>
            <w:r w:rsidRPr="00CA28DC">
              <w:rPr>
                <w:sz w:val="24"/>
                <w:szCs w:val="24"/>
                <w:lang w:val="lt-LT"/>
              </w:rPr>
              <w:t>0,34</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4F41D184" w14:textId="77777777" w:rsidR="00990C62" w:rsidRPr="00CA28DC" w:rsidRDefault="00990C62">
            <w:pPr>
              <w:jc w:val="right"/>
              <w:rPr>
                <w:sz w:val="24"/>
                <w:szCs w:val="24"/>
                <w:lang w:val="lt-LT"/>
              </w:rPr>
            </w:pPr>
            <w:r w:rsidRPr="00CA28DC">
              <w:rPr>
                <w:sz w:val="24"/>
                <w:szCs w:val="24"/>
                <w:lang w:val="lt-LT"/>
              </w:rPr>
              <w:t>0,38</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2B0F9457" w14:textId="77777777" w:rsidR="00990C62" w:rsidRPr="00CA28DC" w:rsidRDefault="00990C62">
            <w:pPr>
              <w:jc w:val="right"/>
              <w:rPr>
                <w:sz w:val="24"/>
                <w:szCs w:val="24"/>
                <w:lang w:val="lt-LT"/>
              </w:rPr>
            </w:pPr>
            <w:r w:rsidRPr="00CA28DC">
              <w:rPr>
                <w:sz w:val="24"/>
                <w:szCs w:val="24"/>
                <w:lang w:val="lt-LT"/>
              </w:rPr>
              <w:t>0,40</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0FBA89DA" w14:textId="77777777" w:rsidR="00990C62" w:rsidRPr="00CA28DC" w:rsidRDefault="00990C62">
            <w:pPr>
              <w:jc w:val="right"/>
              <w:rPr>
                <w:sz w:val="24"/>
                <w:szCs w:val="24"/>
                <w:lang w:val="lt-LT"/>
              </w:rPr>
            </w:pPr>
            <w:r w:rsidRPr="00CA28DC">
              <w:rPr>
                <w:sz w:val="24"/>
                <w:szCs w:val="24"/>
                <w:lang w:val="lt-LT"/>
              </w:rPr>
              <w:t>0,41</w:t>
            </w:r>
          </w:p>
        </w:tc>
      </w:tr>
      <w:tr w:rsidR="00990C62" w:rsidRPr="00CA28DC" w14:paraId="5C407561" w14:textId="77777777" w:rsidTr="00990C62">
        <w:trPr>
          <w:trHeight w:val="330"/>
        </w:trPr>
        <w:tc>
          <w:tcPr>
            <w:tcW w:w="4810" w:type="dxa"/>
            <w:tcBorders>
              <w:top w:val="single" w:sz="4" w:space="0" w:color="auto"/>
              <w:left w:val="single" w:sz="8" w:space="0" w:color="auto"/>
              <w:bottom w:val="single" w:sz="4" w:space="0" w:color="auto"/>
              <w:right w:val="single" w:sz="4" w:space="0" w:color="auto"/>
            </w:tcBorders>
            <w:shd w:val="clear" w:color="auto" w:fill="4F81BD"/>
            <w:noWrap/>
            <w:vAlign w:val="center"/>
            <w:hideMark/>
          </w:tcPr>
          <w:p w14:paraId="7E69CC91" w14:textId="77777777" w:rsidR="00990C62" w:rsidRPr="00CA28DC" w:rsidRDefault="00990C62">
            <w:pPr>
              <w:rPr>
                <w:b/>
                <w:bCs/>
                <w:sz w:val="24"/>
                <w:szCs w:val="24"/>
                <w:lang w:val="lt-LT"/>
              </w:rPr>
            </w:pPr>
            <w:r w:rsidRPr="00CA28DC">
              <w:rPr>
                <w:b/>
                <w:bCs/>
                <w:sz w:val="24"/>
                <w:szCs w:val="24"/>
                <w:lang w:val="lt-LT"/>
              </w:rPr>
              <w:t>Mokumo rodikliai</w:t>
            </w:r>
          </w:p>
        </w:tc>
        <w:tc>
          <w:tcPr>
            <w:tcW w:w="307" w:type="dxa"/>
            <w:tcBorders>
              <w:top w:val="single" w:sz="8" w:space="0" w:color="auto"/>
              <w:left w:val="nil"/>
              <w:bottom w:val="single" w:sz="4" w:space="0" w:color="auto"/>
              <w:right w:val="single" w:sz="4" w:space="0" w:color="auto"/>
            </w:tcBorders>
            <w:shd w:val="clear" w:color="auto" w:fill="4F81BD"/>
            <w:noWrap/>
            <w:vAlign w:val="bottom"/>
            <w:hideMark/>
          </w:tcPr>
          <w:p w14:paraId="3BD9D0BD" w14:textId="77777777" w:rsidR="00990C62" w:rsidRPr="00CA28DC" w:rsidRDefault="00990C62">
            <w:pPr>
              <w:jc w:val="right"/>
              <w:rPr>
                <w:b/>
                <w:bCs/>
                <w:sz w:val="24"/>
                <w:szCs w:val="24"/>
                <w:lang w:val="lt-LT"/>
              </w:rPr>
            </w:pPr>
            <w:r w:rsidRPr="00CA28DC">
              <w:rPr>
                <w:b/>
                <w:bCs/>
                <w:sz w:val="24"/>
                <w:szCs w:val="24"/>
                <w:lang w:val="lt-LT"/>
              </w:rPr>
              <w:t>2017</w:t>
            </w:r>
          </w:p>
        </w:tc>
        <w:tc>
          <w:tcPr>
            <w:tcW w:w="1030" w:type="dxa"/>
            <w:tcBorders>
              <w:top w:val="single" w:sz="8" w:space="0" w:color="auto"/>
              <w:left w:val="nil"/>
              <w:bottom w:val="single" w:sz="4" w:space="0" w:color="auto"/>
              <w:right w:val="single" w:sz="4" w:space="0" w:color="auto"/>
            </w:tcBorders>
            <w:shd w:val="clear" w:color="auto" w:fill="4F81BD"/>
            <w:noWrap/>
            <w:vAlign w:val="bottom"/>
            <w:hideMark/>
          </w:tcPr>
          <w:p w14:paraId="2E29A905" w14:textId="77777777" w:rsidR="00990C62" w:rsidRPr="00CA28DC" w:rsidRDefault="00990C62">
            <w:pPr>
              <w:jc w:val="right"/>
              <w:rPr>
                <w:b/>
                <w:bCs/>
                <w:sz w:val="24"/>
                <w:szCs w:val="24"/>
                <w:lang w:val="lt-LT"/>
              </w:rPr>
            </w:pPr>
            <w:r w:rsidRPr="00CA28DC">
              <w:rPr>
                <w:b/>
                <w:bCs/>
                <w:sz w:val="24"/>
                <w:szCs w:val="24"/>
                <w:lang w:val="lt-LT"/>
              </w:rPr>
              <w:t>2018</w:t>
            </w:r>
          </w:p>
        </w:tc>
        <w:tc>
          <w:tcPr>
            <w:tcW w:w="1030" w:type="dxa"/>
            <w:tcBorders>
              <w:top w:val="single" w:sz="8" w:space="0" w:color="auto"/>
              <w:left w:val="nil"/>
              <w:bottom w:val="single" w:sz="4" w:space="0" w:color="auto"/>
              <w:right w:val="single" w:sz="4" w:space="0" w:color="auto"/>
            </w:tcBorders>
            <w:shd w:val="clear" w:color="auto" w:fill="4F81BD"/>
            <w:noWrap/>
            <w:vAlign w:val="bottom"/>
            <w:hideMark/>
          </w:tcPr>
          <w:p w14:paraId="0F45EDCD" w14:textId="77777777" w:rsidR="00990C62" w:rsidRPr="00CA28DC" w:rsidRDefault="00990C62">
            <w:pPr>
              <w:jc w:val="right"/>
              <w:rPr>
                <w:b/>
                <w:bCs/>
                <w:sz w:val="24"/>
                <w:szCs w:val="24"/>
                <w:lang w:val="lt-LT"/>
              </w:rPr>
            </w:pPr>
            <w:r w:rsidRPr="00CA28DC">
              <w:rPr>
                <w:b/>
                <w:bCs/>
                <w:sz w:val="24"/>
                <w:szCs w:val="24"/>
                <w:lang w:val="lt-LT"/>
              </w:rPr>
              <w:t>2019</w:t>
            </w:r>
          </w:p>
        </w:tc>
        <w:tc>
          <w:tcPr>
            <w:tcW w:w="1030" w:type="dxa"/>
            <w:tcBorders>
              <w:top w:val="single" w:sz="8" w:space="0" w:color="auto"/>
              <w:left w:val="nil"/>
              <w:bottom w:val="single" w:sz="4" w:space="0" w:color="auto"/>
              <w:right w:val="single" w:sz="4" w:space="0" w:color="auto"/>
            </w:tcBorders>
            <w:shd w:val="clear" w:color="auto" w:fill="4F81BD"/>
            <w:noWrap/>
            <w:vAlign w:val="bottom"/>
            <w:hideMark/>
          </w:tcPr>
          <w:p w14:paraId="08C081CE" w14:textId="77777777" w:rsidR="00990C62" w:rsidRPr="00CA28DC" w:rsidRDefault="00990C62">
            <w:pPr>
              <w:jc w:val="right"/>
              <w:rPr>
                <w:b/>
                <w:bCs/>
                <w:sz w:val="24"/>
                <w:szCs w:val="24"/>
                <w:lang w:val="lt-LT"/>
              </w:rPr>
            </w:pPr>
            <w:r w:rsidRPr="00CA28DC">
              <w:rPr>
                <w:b/>
                <w:bCs/>
                <w:sz w:val="24"/>
                <w:szCs w:val="24"/>
                <w:lang w:val="lt-LT"/>
              </w:rPr>
              <w:t>2020</w:t>
            </w:r>
          </w:p>
        </w:tc>
      </w:tr>
      <w:tr w:rsidR="00990C62" w:rsidRPr="00CA28DC" w14:paraId="0EAFB393" w14:textId="77777777" w:rsidTr="00990C62">
        <w:trPr>
          <w:trHeight w:val="477"/>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2FE3F743" w14:textId="77777777" w:rsidR="00990C62" w:rsidRPr="00CA28DC" w:rsidRDefault="00990C62">
            <w:pPr>
              <w:rPr>
                <w:sz w:val="24"/>
                <w:szCs w:val="24"/>
                <w:lang w:val="lt-LT"/>
              </w:rPr>
            </w:pPr>
            <w:r w:rsidRPr="00CA28DC">
              <w:rPr>
                <w:sz w:val="24"/>
                <w:szCs w:val="24"/>
                <w:lang w:val="lt-LT"/>
              </w:rPr>
              <w:t>Skolos ir nuosavo kapitalo rodiklis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579183D4" w14:textId="77777777" w:rsidR="00990C62" w:rsidRPr="00CA28DC" w:rsidRDefault="00990C62">
            <w:pPr>
              <w:jc w:val="right"/>
              <w:rPr>
                <w:sz w:val="24"/>
                <w:szCs w:val="24"/>
                <w:lang w:val="lt-LT"/>
              </w:rPr>
            </w:pPr>
            <w:r w:rsidRPr="00CA28DC">
              <w:rPr>
                <w:sz w:val="24"/>
                <w:szCs w:val="24"/>
                <w:lang w:val="lt-LT"/>
              </w:rPr>
              <w:t>1,74</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047B4897" w14:textId="77777777" w:rsidR="00990C62" w:rsidRPr="00CA28DC" w:rsidRDefault="00990C62">
            <w:pPr>
              <w:jc w:val="right"/>
              <w:rPr>
                <w:sz w:val="24"/>
                <w:szCs w:val="24"/>
                <w:lang w:val="lt-LT"/>
              </w:rPr>
            </w:pPr>
            <w:r w:rsidRPr="00CA28DC">
              <w:rPr>
                <w:sz w:val="24"/>
                <w:szCs w:val="24"/>
                <w:lang w:val="lt-LT"/>
              </w:rPr>
              <w:t>1,54</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089C83E7" w14:textId="77777777" w:rsidR="00990C62" w:rsidRPr="00CA28DC" w:rsidRDefault="00990C62">
            <w:pPr>
              <w:jc w:val="right"/>
              <w:rPr>
                <w:sz w:val="24"/>
                <w:szCs w:val="24"/>
                <w:lang w:val="lt-LT"/>
              </w:rPr>
            </w:pPr>
            <w:r w:rsidRPr="00CA28DC">
              <w:rPr>
                <w:sz w:val="24"/>
                <w:szCs w:val="24"/>
                <w:lang w:val="lt-LT"/>
              </w:rPr>
              <w:t>1,40</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777CED7C" w14:textId="77777777" w:rsidR="00990C62" w:rsidRPr="00CA28DC" w:rsidRDefault="00990C62">
            <w:pPr>
              <w:jc w:val="right"/>
              <w:rPr>
                <w:sz w:val="24"/>
                <w:szCs w:val="24"/>
                <w:lang w:val="lt-LT"/>
              </w:rPr>
            </w:pPr>
            <w:r w:rsidRPr="00CA28DC">
              <w:rPr>
                <w:sz w:val="24"/>
                <w:szCs w:val="24"/>
                <w:lang w:val="lt-LT"/>
              </w:rPr>
              <w:t>1,33</w:t>
            </w:r>
          </w:p>
        </w:tc>
      </w:tr>
      <w:tr w:rsidR="00990C62" w:rsidRPr="00CA28DC" w14:paraId="135CDD47" w14:textId="77777777" w:rsidTr="00990C62">
        <w:trPr>
          <w:trHeight w:val="315"/>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0588B5E5" w14:textId="77777777" w:rsidR="00990C62" w:rsidRPr="00CA28DC" w:rsidRDefault="00990C62">
            <w:pPr>
              <w:rPr>
                <w:sz w:val="24"/>
                <w:szCs w:val="24"/>
                <w:lang w:val="lt-LT"/>
              </w:rPr>
            </w:pPr>
            <w:r w:rsidRPr="00CA28DC">
              <w:rPr>
                <w:sz w:val="24"/>
                <w:szCs w:val="24"/>
                <w:lang w:val="lt-LT"/>
              </w:rPr>
              <w:t>Skolos ir turto rodiklis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68B6BB1A" w14:textId="77777777" w:rsidR="00990C62" w:rsidRPr="00CA28DC" w:rsidRDefault="00990C62">
            <w:pPr>
              <w:jc w:val="right"/>
              <w:rPr>
                <w:sz w:val="24"/>
                <w:szCs w:val="24"/>
                <w:lang w:val="lt-LT"/>
              </w:rPr>
            </w:pPr>
            <w:r w:rsidRPr="00CA28DC">
              <w:rPr>
                <w:sz w:val="24"/>
                <w:szCs w:val="24"/>
                <w:lang w:val="lt-LT"/>
              </w:rPr>
              <w:t>0,64</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4534B507" w14:textId="77777777" w:rsidR="00990C62" w:rsidRPr="00CA28DC" w:rsidRDefault="00990C62">
            <w:pPr>
              <w:jc w:val="right"/>
              <w:rPr>
                <w:sz w:val="24"/>
                <w:szCs w:val="24"/>
                <w:lang w:val="lt-LT"/>
              </w:rPr>
            </w:pPr>
            <w:r w:rsidRPr="00CA28DC">
              <w:rPr>
                <w:sz w:val="24"/>
                <w:szCs w:val="24"/>
                <w:lang w:val="lt-LT"/>
              </w:rPr>
              <w:t>0,61</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1211AC8E" w14:textId="77777777" w:rsidR="00990C62" w:rsidRPr="00CA28DC" w:rsidRDefault="00990C62">
            <w:pPr>
              <w:jc w:val="right"/>
              <w:rPr>
                <w:sz w:val="24"/>
                <w:szCs w:val="24"/>
                <w:lang w:val="lt-LT"/>
              </w:rPr>
            </w:pPr>
            <w:r w:rsidRPr="00CA28DC">
              <w:rPr>
                <w:sz w:val="24"/>
                <w:szCs w:val="24"/>
                <w:lang w:val="lt-LT"/>
              </w:rPr>
              <w:t>0,58</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4B158359" w14:textId="77777777" w:rsidR="00990C62" w:rsidRPr="00CA28DC" w:rsidRDefault="00990C62">
            <w:pPr>
              <w:jc w:val="right"/>
              <w:rPr>
                <w:sz w:val="24"/>
                <w:szCs w:val="24"/>
                <w:lang w:val="lt-LT"/>
              </w:rPr>
            </w:pPr>
            <w:r w:rsidRPr="00CA28DC">
              <w:rPr>
                <w:sz w:val="24"/>
                <w:szCs w:val="24"/>
                <w:lang w:val="lt-LT"/>
              </w:rPr>
              <w:t>0,57</w:t>
            </w:r>
          </w:p>
        </w:tc>
      </w:tr>
      <w:tr w:rsidR="00990C62" w:rsidRPr="00CA28DC" w14:paraId="507BA91C" w14:textId="77777777" w:rsidTr="00990C62">
        <w:trPr>
          <w:trHeight w:val="315"/>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6CA1AE81" w14:textId="77777777" w:rsidR="00990C62" w:rsidRPr="00CA28DC" w:rsidRDefault="00990C62">
            <w:pPr>
              <w:rPr>
                <w:sz w:val="24"/>
                <w:szCs w:val="24"/>
                <w:lang w:val="lt-LT"/>
              </w:rPr>
            </w:pPr>
            <w:r w:rsidRPr="00CA28DC">
              <w:rPr>
                <w:sz w:val="24"/>
                <w:szCs w:val="24"/>
                <w:lang w:val="lt-LT"/>
              </w:rPr>
              <w:t>Finansinio sverto rodiklis</w:t>
            </w:r>
          </w:p>
        </w:tc>
        <w:tc>
          <w:tcPr>
            <w:tcW w:w="307" w:type="dxa"/>
            <w:tcBorders>
              <w:top w:val="single" w:sz="4" w:space="0" w:color="auto"/>
              <w:left w:val="nil"/>
              <w:bottom w:val="single" w:sz="8" w:space="0" w:color="auto"/>
              <w:right w:val="single" w:sz="4" w:space="0" w:color="auto"/>
            </w:tcBorders>
            <w:shd w:val="clear" w:color="auto" w:fill="FFFFFF"/>
            <w:noWrap/>
            <w:vAlign w:val="bottom"/>
            <w:hideMark/>
          </w:tcPr>
          <w:p w14:paraId="11B0702B" w14:textId="77777777" w:rsidR="00990C62" w:rsidRPr="00CA28DC" w:rsidRDefault="00990C62">
            <w:pPr>
              <w:jc w:val="right"/>
              <w:rPr>
                <w:sz w:val="24"/>
                <w:szCs w:val="24"/>
                <w:lang w:val="lt-LT"/>
              </w:rPr>
            </w:pPr>
            <w:r w:rsidRPr="00CA28DC">
              <w:rPr>
                <w:sz w:val="24"/>
                <w:szCs w:val="24"/>
                <w:lang w:val="lt-LT"/>
              </w:rPr>
              <w:t>2,74</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38CBEB47" w14:textId="77777777" w:rsidR="00990C62" w:rsidRPr="00CA28DC" w:rsidRDefault="00990C62">
            <w:pPr>
              <w:jc w:val="right"/>
              <w:rPr>
                <w:sz w:val="24"/>
                <w:szCs w:val="24"/>
                <w:lang w:val="lt-LT"/>
              </w:rPr>
            </w:pPr>
            <w:r w:rsidRPr="00CA28DC">
              <w:rPr>
                <w:sz w:val="24"/>
                <w:szCs w:val="24"/>
                <w:lang w:val="lt-LT"/>
              </w:rPr>
              <w:t>2,54</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020DCB7A" w14:textId="77777777" w:rsidR="00990C62" w:rsidRPr="00CA28DC" w:rsidRDefault="00990C62">
            <w:pPr>
              <w:jc w:val="right"/>
              <w:rPr>
                <w:sz w:val="24"/>
                <w:szCs w:val="24"/>
                <w:lang w:val="lt-LT"/>
              </w:rPr>
            </w:pPr>
            <w:r w:rsidRPr="00CA28DC">
              <w:rPr>
                <w:sz w:val="24"/>
                <w:szCs w:val="24"/>
                <w:lang w:val="lt-LT"/>
              </w:rPr>
              <w:t>2,40</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6643C223" w14:textId="77777777" w:rsidR="00990C62" w:rsidRPr="00CA28DC" w:rsidRDefault="00990C62">
            <w:pPr>
              <w:jc w:val="right"/>
              <w:rPr>
                <w:sz w:val="24"/>
                <w:szCs w:val="24"/>
                <w:lang w:val="lt-LT"/>
              </w:rPr>
            </w:pPr>
            <w:r w:rsidRPr="00CA28DC">
              <w:rPr>
                <w:sz w:val="24"/>
                <w:szCs w:val="24"/>
                <w:lang w:val="lt-LT"/>
              </w:rPr>
              <w:t>2,33</w:t>
            </w:r>
          </w:p>
        </w:tc>
      </w:tr>
      <w:tr w:rsidR="00990C62" w:rsidRPr="00CA28DC" w14:paraId="44C5E2E2" w14:textId="77777777" w:rsidTr="00990C62">
        <w:trPr>
          <w:trHeight w:val="330"/>
        </w:trPr>
        <w:tc>
          <w:tcPr>
            <w:tcW w:w="4810" w:type="dxa"/>
            <w:tcBorders>
              <w:top w:val="nil"/>
              <w:left w:val="single" w:sz="8" w:space="0" w:color="auto"/>
              <w:bottom w:val="single" w:sz="4" w:space="0" w:color="auto"/>
              <w:right w:val="single" w:sz="4" w:space="0" w:color="auto"/>
            </w:tcBorders>
            <w:shd w:val="clear" w:color="auto" w:fill="4F81BD"/>
            <w:noWrap/>
            <w:vAlign w:val="center"/>
            <w:hideMark/>
          </w:tcPr>
          <w:p w14:paraId="33137356" w14:textId="77777777" w:rsidR="00990C62" w:rsidRPr="00CA28DC" w:rsidRDefault="00990C62">
            <w:pPr>
              <w:rPr>
                <w:b/>
                <w:bCs/>
                <w:sz w:val="24"/>
                <w:szCs w:val="24"/>
                <w:lang w:val="lt-LT"/>
              </w:rPr>
            </w:pPr>
            <w:r w:rsidRPr="00CA28DC">
              <w:rPr>
                <w:b/>
                <w:bCs/>
                <w:sz w:val="24"/>
                <w:szCs w:val="24"/>
                <w:lang w:val="lt-LT"/>
              </w:rPr>
              <w:t>Efektyvumo rodikliai</w:t>
            </w:r>
          </w:p>
        </w:tc>
        <w:tc>
          <w:tcPr>
            <w:tcW w:w="307" w:type="dxa"/>
            <w:tcBorders>
              <w:top w:val="single" w:sz="8" w:space="0" w:color="auto"/>
              <w:left w:val="nil"/>
              <w:bottom w:val="single" w:sz="4" w:space="0" w:color="auto"/>
              <w:right w:val="single" w:sz="4" w:space="0" w:color="auto"/>
            </w:tcBorders>
            <w:shd w:val="clear" w:color="auto" w:fill="4F81BD"/>
            <w:noWrap/>
            <w:vAlign w:val="bottom"/>
            <w:hideMark/>
          </w:tcPr>
          <w:p w14:paraId="0C3C6DC2" w14:textId="77777777" w:rsidR="00990C62" w:rsidRPr="00CA28DC" w:rsidRDefault="00990C62">
            <w:pPr>
              <w:jc w:val="right"/>
              <w:rPr>
                <w:b/>
                <w:bCs/>
                <w:sz w:val="24"/>
                <w:szCs w:val="24"/>
                <w:lang w:val="lt-LT"/>
              </w:rPr>
            </w:pPr>
            <w:r w:rsidRPr="00CA28DC">
              <w:rPr>
                <w:b/>
                <w:bCs/>
                <w:sz w:val="24"/>
                <w:szCs w:val="24"/>
                <w:lang w:val="lt-LT"/>
              </w:rPr>
              <w:t>2017</w:t>
            </w:r>
          </w:p>
        </w:tc>
        <w:tc>
          <w:tcPr>
            <w:tcW w:w="1030" w:type="dxa"/>
            <w:tcBorders>
              <w:top w:val="single" w:sz="8" w:space="0" w:color="auto"/>
              <w:left w:val="nil"/>
              <w:bottom w:val="single" w:sz="4" w:space="0" w:color="auto"/>
              <w:right w:val="single" w:sz="4" w:space="0" w:color="auto"/>
            </w:tcBorders>
            <w:shd w:val="clear" w:color="auto" w:fill="4F81BD"/>
            <w:noWrap/>
            <w:vAlign w:val="bottom"/>
            <w:hideMark/>
          </w:tcPr>
          <w:p w14:paraId="054B51D8" w14:textId="77777777" w:rsidR="00990C62" w:rsidRPr="00CA28DC" w:rsidRDefault="00990C62">
            <w:pPr>
              <w:jc w:val="right"/>
              <w:rPr>
                <w:b/>
                <w:bCs/>
                <w:sz w:val="24"/>
                <w:szCs w:val="24"/>
                <w:lang w:val="lt-LT"/>
              </w:rPr>
            </w:pPr>
            <w:r w:rsidRPr="00CA28DC">
              <w:rPr>
                <w:b/>
                <w:bCs/>
                <w:sz w:val="24"/>
                <w:szCs w:val="24"/>
                <w:lang w:val="lt-LT"/>
              </w:rPr>
              <w:t>2018</w:t>
            </w:r>
          </w:p>
        </w:tc>
        <w:tc>
          <w:tcPr>
            <w:tcW w:w="1030" w:type="dxa"/>
            <w:tcBorders>
              <w:top w:val="single" w:sz="8" w:space="0" w:color="auto"/>
              <w:left w:val="nil"/>
              <w:bottom w:val="single" w:sz="4" w:space="0" w:color="auto"/>
              <w:right w:val="single" w:sz="4" w:space="0" w:color="auto"/>
            </w:tcBorders>
            <w:shd w:val="clear" w:color="auto" w:fill="4F81BD"/>
            <w:noWrap/>
            <w:vAlign w:val="bottom"/>
            <w:hideMark/>
          </w:tcPr>
          <w:p w14:paraId="358F7EF2" w14:textId="77777777" w:rsidR="00990C62" w:rsidRPr="00CA28DC" w:rsidRDefault="00990C62">
            <w:pPr>
              <w:jc w:val="right"/>
              <w:rPr>
                <w:b/>
                <w:bCs/>
                <w:sz w:val="24"/>
                <w:szCs w:val="24"/>
                <w:lang w:val="lt-LT"/>
              </w:rPr>
            </w:pPr>
            <w:r w:rsidRPr="00CA28DC">
              <w:rPr>
                <w:b/>
                <w:bCs/>
                <w:sz w:val="24"/>
                <w:szCs w:val="24"/>
                <w:lang w:val="lt-LT"/>
              </w:rPr>
              <w:t>2019</w:t>
            </w:r>
          </w:p>
        </w:tc>
        <w:tc>
          <w:tcPr>
            <w:tcW w:w="1030" w:type="dxa"/>
            <w:tcBorders>
              <w:top w:val="single" w:sz="8" w:space="0" w:color="auto"/>
              <w:left w:val="nil"/>
              <w:bottom w:val="single" w:sz="4" w:space="0" w:color="auto"/>
              <w:right w:val="single" w:sz="4" w:space="0" w:color="auto"/>
            </w:tcBorders>
            <w:shd w:val="clear" w:color="auto" w:fill="4F81BD"/>
            <w:noWrap/>
            <w:vAlign w:val="bottom"/>
            <w:hideMark/>
          </w:tcPr>
          <w:p w14:paraId="5D05DB96" w14:textId="77777777" w:rsidR="00990C62" w:rsidRPr="00CA28DC" w:rsidRDefault="00990C62">
            <w:pPr>
              <w:jc w:val="right"/>
              <w:rPr>
                <w:b/>
                <w:bCs/>
                <w:sz w:val="24"/>
                <w:szCs w:val="24"/>
                <w:lang w:val="lt-LT"/>
              </w:rPr>
            </w:pPr>
            <w:r w:rsidRPr="00CA28DC">
              <w:rPr>
                <w:b/>
                <w:bCs/>
                <w:sz w:val="24"/>
                <w:szCs w:val="24"/>
                <w:lang w:val="lt-LT"/>
              </w:rPr>
              <w:t>2020</w:t>
            </w:r>
          </w:p>
        </w:tc>
      </w:tr>
      <w:tr w:rsidR="00990C62" w:rsidRPr="00CA28DC" w14:paraId="23D41AD3" w14:textId="77777777" w:rsidTr="00990C62">
        <w:trPr>
          <w:trHeight w:val="429"/>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769DC653" w14:textId="77777777" w:rsidR="00990C62" w:rsidRPr="00CA28DC" w:rsidRDefault="00990C62">
            <w:pPr>
              <w:rPr>
                <w:sz w:val="24"/>
                <w:szCs w:val="24"/>
                <w:lang w:val="lt-LT"/>
              </w:rPr>
            </w:pPr>
            <w:r w:rsidRPr="00CA28DC">
              <w:rPr>
                <w:sz w:val="24"/>
                <w:szCs w:val="24"/>
                <w:lang w:val="lt-LT"/>
              </w:rPr>
              <w:t>Gautinų sumų apyvartumas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1DCE5045" w14:textId="77777777" w:rsidR="00990C62" w:rsidRPr="00CA28DC" w:rsidRDefault="00990C62">
            <w:pPr>
              <w:jc w:val="right"/>
              <w:rPr>
                <w:sz w:val="24"/>
                <w:szCs w:val="24"/>
                <w:lang w:val="lt-LT"/>
              </w:rPr>
            </w:pPr>
            <w:r w:rsidRPr="00CA28DC">
              <w:rPr>
                <w:sz w:val="24"/>
                <w:szCs w:val="24"/>
                <w:lang w:val="lt-LT"/>
              </w:rPr>
              <w:t>2,81</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0EEA331F" w14:textId="77777777" w:rsidR="00990C62" w:rsidRPr="00CA28DC" w:rsidRDefault="00990C62">
            <w:pPr>
              <w:jc w:val="right"/>
              <w:rPr>
                <w:sz w:val="24"/>
                <w:szCs w:val="24"/>
                <w:lang w:val="lt-LT"/>
              </w:rPr>
            </w:pPr>
            <w:r w:rsidRPr="00CA28DC">
              <w:rPr>
                <w:sz w:val="24"/>
                <w:szCs w:val="24"/>
                <w:lang w:val="lt-LT"/>
              </w:rPr>
              <w:t>3,55</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49B7EDC0" w14:textId="77777777" w:rsidR="00990C62" w:rsidRPr="00CA28DC" w:rsidRDefault="00990C62">
            <w:pPr>
              <w:jc w:val="right"/>
              <w:rPr>
                <w:sz w:val="24"/>
                <w:szCs w:val="24"/>
                <w:lang w:val="lt-LT"/>
              </w:rPr>
            </w:pPr>
            <w:r w:rsidRPr="00CA28DC">
              <w:rPr>
                <w:sz w:val="24"/>
                <w:szCs w:val="24"/>
                <w:lang w:val="lt-LT"/>
              </w:rPr>
              <w:t>3,54</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3028AF26" w14:textId="77777777" w:rsidR="00990C62" w:rsidRPr="00CA28DC" w:rsidRDefault="00990C62">
            <w:pPr>
              <w:jc w:val="right"/>
              <w:rPr>
                <w:sz w:val="24"/>
                <w:szCs w:val="24"/>
                <w:lang w:val="lt-LT"/>
              </w:rPr>
            </w:pPr>
            <w:r w:rsidRPr="00CA28DC">
              <w:rPr>
                <w:sz w:val="24"/>
                <w:szCs w:val="24"/>
                <w:lang w:val="lt-LT"/>
              </w:rPr>
              <w:t>3,73</w:t>
            </w:r>
          </w:p>
        </w:tc>
      </w:tr>
      <w:tr w:rsidR="00990C62" w:rsidRPr="00CA28DC" w14:paraId="6706CE7B" w14:textId="77777777" w:rsidTr="00990C62">
        <w:trPr>
          <w:trHeight w:val="315"/>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1B15D836" w14:textId="77777777" w:rsidR="00990C62" w:rsidRPr="00CA28DC" w:rsidRDefault="00990C62">
            <w:pPr>
              <w:rPr>
                <w:sz w:val="24"/>
                <w:szCs w:val="24"/>
                <w:lang w:val="lt-LT"/>
              </w:rPr>
            </w:pPr>
            <w:r w:rsidRPr="00CA28DC">
              <w:rPr>
                <w:sz w:val="24"/>
                <w:szCs w:val="24"/>
                <w:lang w:val="lt-LT"/>
              </w:rPr>
              <w:t>Vidutinis atsiskaitymo periodas d.</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30145501" w14:textId="77777777" w:rsidR="00990C62" w:rsidRPr="00CA28DC" w:rsidRDefault="00990C62">
            <w:pPr>
              <w:jc w:val="right"/>
              <w:rPr>
                <w:sz w:val="24"/>
                <w:szCs w:val="24"/>
                <w:lang w:val="lt-LT"/>
              </w:rPr>
            </w:pPr>
            <w:r w:rsidRPr="00CA28DC">
              <w:rPr>
                <w:sz w:val="24"/>
                <w:szCs w:val="24"/>
                <w:lang w:val="lt-LT"/>
              </w:rPr>
              <w:t>130,09</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170DC27C" w14:textId="77777777" w:rsidR="00990C62" w:rsidRPr="00CA28DC" w:rsidRDefault="00990C62">
            <w:pPr>
              <w:jc w:val="right"/>
              <w:rPr>
                <w:sz w:val="24"/>
                <w:szCs w:val="24"/>
                <w:lang w:val="lt-LT"/>
              </w:rPr>
            </w:pPr>
            <w:r w:rsidRPr="00CA28DC">
              <w:rPr>
                <w:sz w:val="24"/>
                <w:szCs w:val="24"/>
                <w:lang w:val="lt-LT"/>
              </w:rPr>
              <w:t>102,88</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05EACE97" w14:textId="77777777" w:rsidR="00990C62" w:rsidRPr="00CA28DC" w:rsidRDefault="00990C62">
            <w:pPr>
              <w:jc w:val="right"/>
              <w:rPr>
                <w:sz w:val="24"/>
                <w:szCs w:val="24"/>
                <w:lang w:val="lt-LT"/>
              </w:rPr>
            </w:pPr>
            <w:r w:rsidRPr="00CA28DC">
              <w:rPr>
                <w:sz w:val="24"/>
                <w:szCs w:val="24"/>
                <w:lang w:val="lt-LT"/>
              </w:rPr>
              <w:t>103,18</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1C042B88" w14:textId="77777777" w:rsidR="00990C62" w:rsidRPr="00CA28DC" w:rsidRDefault="00990C62">
            <w:pPr>
              <w:jc w:val="right"/>
              <w:rPr>
                <w:sz w:val="24"/>
                <w:szCs w:val="24"/>
                <w:lang w:val="lt-LT"/>
              </w:rPr>
            </w:pPr>
            <w:r w:rsidRPr="00CA28DC">
              <w:rPr>
                <w:sz w:val="24"/>
                <w:szCs w:val="24"/>
                <w:lang w:val="lt-LT"/>
              </w:rPr>
              <w:t>97,74</w:t>
            </w:r>
          </w:p>
        </w:tc>
      </w:tr>
      <w:tr w:rsidR="00990C62" w:rsidRPr="00CA28DC" w14:paraId="67D2B025" w14:textId="77777777" w:rsidTr="00990C62">
        <w:trPr>
          <w:trHeight w:val="315"/>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0B2C28DE" w14:textId="77777777" w:rsidR="00990C62" w:rsidRPr="00CA28DC" w:rsidRDefault="00990C62">
            <w:pPr>
              <w:rPr>
                <w:sz w:val="24"/>
                <w:szCs w:val="24"/>
                <w:lang w:val="lt-LT"/>
              </w:rPr>
            </w:pPr>
            <w:r w:rsidRPr="00CA28DC">
              <w:rPr>
                <w:sz w:val="24"/>
                <w:szCs w:val="24"/>
                <w:lang w:val="lt-LT"/>
              </w:rPr>
              <w:t>Atsargų apyvartumas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38287A81" w14:textId="77777777" w:rsidR="00990C62" w:rsidRPr="00CA28DC" w:rsidRDefault="00990C62">
            <w:pPr>
              <w:jc w:val="right"/>
              <w:rPr>
                <w:sz w:val="24"/>
                <w:szCs w:val="24"/>
                <w:lang w:val="lt-LT"/>
              </w:rPr>
            </w:pPr>
            <w:r w:rsidRPr="00CA28DC">
              <w:rPr>
                <w:sz w:val="24"/>
                <w:szCs w:val="24"/>
                <w:lang w:val="lt-LT"/>
              </w:rPr>
              <w:t>107,49</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03F08700" w14:textId="77777777" w:rsidR="00990C62" w:rsidRPr="00CA28DC" w:rsidRDefault="00990C62">
            <w:pPr>
              <w:jc w:val="right"/>
              <w:rPr>
                <w:sz w:val="24"/>
                <w:szCs w:val="24"/>
                <w:lang w:val="lt-LT"/>
              </w:rPr>
            </w:pPr>
            <w:r w:rsidRPr="00CA28DC">
              <w:rPr>
                <w:sz w:val="24"/>
                <w:szCs w:val="24"/>
                <w:lang w:val="lt-LT"/>
              </w:rPr>
              <w:t>129,82</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3D77C033" w14:textId="77777777" w:rsidR="00990C62" w:rsidRPr="00CA28DC" w:rsidRDefault="00990C62">
            <w:pPr>
              <w:jc w:val="right"/>
              <w:rPr>
                <w:sz w:val="24"/>
                <w:szCs w:val="24"/>
                <w:lang w:val="lt-LT"/>
              </w:rPr>
            </w:pPr>
            <w:r w:rsidRPr="00CA28DC">
              <w:rPr>
                <w:sz w:val="24"/>
                <w:szCs w:val="24"/>
                <w:lang w:val="lt-LT"/>
              </w:rPr>
              <w:t>98,05</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36153D05" w14:textId="77777777" w:rsidR="00990C62" w:rsidRPr="00CA28DC" w:rsidRDefault="00990C62">
            <w:pPr>
              <w:jc w:val="right"/>
              <w:rPr>
                <w:sz w:val="24"/>
                <w:szCs w:val="24"/>
                <w:lang w:val="lt-LT"/>
              </w:rPr>
            </w:pPr>
            <w:r w:rsidRPr="00CA28DC">
              <w:rPr>
                <w:sz w:val="24"/>
                <w:szCs w:val="24"/>
                <w:lang w:val="lt-LT"/>
              </w:rPr>
              <w:t>83,99</w:t>
            </w:r>
          </w:p>
        </w:tc>
      </w:tr>
      <w:tr w:rsidR="00990C62" w:rsidRPr="00CA28DC" w14:paraId="4DD32480" w14:textId="77777777" w:rsidTr="00990C62">
        <w:trPr>
          <w:trHeight w:val="315"/>
        </w:trPr>
        <w:tc>
          <w:tcPr>
            <w:tcW w:w="4810" w:type="dxa"/>
            <w:tcBorders>
              <w:top w:val="nil"/>
              <w:left w:val="single" w:sz="8" w:space="0" w:color="auto"/>
              <w:bottom w:val="single" w:sz="4" w:space="0" w:color="auto"/>
              <w:right w:val="single" w:sz="4" w:space="0" w:color="auto"/>
            </w:tcBorders>
            <w:shd w:val="clear" w:color="auto" w:fill="FFFFFF"/>
            <w:noWrap/>
            <w:vAlign w:val="bottom"/>
            <w:hideMark/>
          </w:tcPr>
          <w:p w14:paraId="18BC78A6" w14:textId="77777777" w:rsidR="00990C62" w:rsidRPr="00CA28DC" w:rsidRDefault="00990C62">
            <w:pPr>
              <w:rPr>
                <w:sz w:val="24"/>
                <w:szCs w:val="24"/>
                <w:lang w:val="lt-LT"/>
              </w:rPr>
            </w:pPr>
            <w:r w:rsidRPr="00CA28DC">
              <w:rPr>
                <w:sz w:val="24"/>
                <w:szCs w:val="24"/>
                <w:lang w:val="lt-LT"/>
              </w:rPr>
              <w:t>Turto apyvartumas</w:t>
            </w:r>
          </w:p>
        </w:tc>
        <w:tc>
          <w:tcPr>
            <w:tcW w:w="307" w:type="dxa"/>
            <w:tcBorders>
              <w:top w:val="single" w:sz="4" w:space="0" w:color="auto"/>
              <w:left w:val="nil"/>
              <w:bottom w:val="single" w:sz="4" w:space="0" w:color="auto"/>
              <w:right w:val="single" w:sz="4" w:space="0" w:color="auto"/>
            </w:tcBorders>
            <w:shd w:val="clear" w:color="auto" w:fill="FFFFFF"/>
            <w:noWrap/>
            <w:vAlign w:val="bottom"/>
            <w:hideMark/>
          </w:tcPr>
          <w:p w14:paraId="116D3FCA" w14:textId="77777777" w:rsidR="00990C62" w:rsidRPr="00CA28DC" w:rsidRDefault="00990C62">
            <w:pPr>
              <w:jc w:val="right"/>
              <w:rPr>
                <w:sz w:val="24"/>
                <w:szCs w:val="24"/>
                <w:lang w:val="lt-LT"/>
              </w:rPr>
            </w:pPr>
            <w:r w:rsidRPr="00CA28DC">
              <w:rPr>
                <w:sz w:val="24"/>
                <w:szCs w:val="24"/>
                <w:lang w:val="lt-LT"/>
              </w:rPr>
              <w:t>0,99</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2734E6CD" w14:textId="77777777" w:rsidR="00990C62" w:rsidRPr="00CA28DC" w:rsidRDefault="00990C62">
            <w:pPr>
              <w:jc w:val="right"/>
              <w:rPr>
                <w:sz w:val="24"/>
                <w:szCs w:val="24"/>
                <w:lang w:val="lt-LT"/>
              </w:rPr>
            </w:pPr>
            <w:r w:rsidRPr="00CA28DC">
              <w:rPr>
                <w:sz w:val="24"/>
                <w:szCs w:val="24"/>
                <w:lang w:val="lt-LT"/>
              </w:rPr>
              <w:t>1,06</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338705B7" w14:textId="77777777" w:rsidR="00990C62" w:rsidRPr="00CA28DC" w:rsidRDefault="00990C62">
            <w:pPr>
              <w:jc w:val="right"/>
              <w:rPr>
                <w:sz w:val="24"/>
                <w:szCs w:val="24"/>
                <w:lang w:val="lt-LT"/>
              </w:rPr>
            </w:pPr>
            <w:r w:rsidRPr="00CA28DC">
              <w:rPr>
                <w:sz w:val="24"/>
                <w:szCs w:val="24"/>
                <w:lang w:val="lt-LT"/>
              </w:rPr>
              <w:t>1,08</w:t>
            </w:r>
          </w:p>
        </w:tc>
        <w:tc>
          <w:tcPr>
            <w:tcW w:w="1030" w:type="dxa"/>
            <w:tcBorders>
              <w:top w:val="single" w:sz="4" w:space="0" w:color="auto"/>
              <w:left w:val="nil"/>
              <w:bottom w:val="single" w:sz="4" w:space="0" w:color="auto"/>
              <w:right w:val="single" w:sz="4" w:space="0" w:color="auto"/>
            </w:tcBorders>
            <w:shd w:val="clear" w:color="auto" w:fill="FFFFFF"/>
            <w:noWrap/>
            <w:vAlign w:val="bottom"/>
            <w:hideMark/>
          </w:tcPr>
          <w:p w14:paraId="5DF2FCA5" w14:textId="77777777" w:rsidR="00990C62" w:rsidRPr="00CA28DC" w:rsidRDefault="00990C62">
            <w:pPr>
              <w:jc w:val="right"/>
              <w:rPr>
                <w:sz w:val="24"/>
                <w:szCs w:val="24"/>
                <w:lang w:val="lt-LT"/>
              </w:rPr>
            </w:pPr>
            <w:r w:rsidRPr="00CA28DC">
              <w:rPr>
                <w:sz w:val="24"/>
                <w:szCs w:val="24"/>
                <w:lang w:val="lt-LT"/>
              </w:rPr>
              <w:t>1,07</w:t>
            </w:r>
          </w:p>
        </w:tc>
      </w:tr>
      <w:tr w:rsidR="00990C62" w:rsidRPr="00CA28DC" w14:paraId="7C46EC81" w14:textId="77777777" w:rsidTr="00990C62">
        <w:trPr>
          <w:trHeight w:val="421"/>
        </w:trPr>
        <w:tc>
          <w:tcPr>
            <w:tcW w:w="4810" w:type="dxa"/>
            <w:tcBorders>
              <w:top w:val="nil"/>
              <w:left w:val="single" w:sz="8" w:space="0" w:color="auto"/>
              <w:bottom w:val="single" w:sz="8" w:space="0" w:color="auto"/>
              <w:right w:val="single" w:sz="4" w:space="0" w:color="auto"/>
            </w:tcBorders>
            <w:shd w:val="clear" w:color="auto" w:fill="FFFFFF"/>
            <w:noWrap/>
            <w:vAlign w:val="bottom"/>
            <w:hideMark/>
          </w:tcPr>
          <w:p w14:paraId="382C252E" w14:textId="77777777" w:rsidR="00990C62" w:rsidRPr="00CA28DC" w:rsidRDefault="00990C62">
            <w:pPr>
              <w:rPr>
                <w:sz w:val="24"/>
                <w:szCs w:val="24"/>
                <w:lang w:val="lt-LT"/>
              </w:rPr>
            </w:pPr>
            <w:r w:rsidRPr="00CA28DC">
              <w:rPr>
                <w:sz w:val="24"/>
                <w:szCs w:val="24"/>
                <w:lang w:val="lt-LT"/>
              </w:rPr>
              <w:t>Ilgalaikio turto apyvartumas</w:t>
            </w:r>
          </w:p>
        </w:tc>
        <w:tc>
          <w:tcPr>
            <w:tcW w:w="307" w:type="dxa"/>
            <w:tcBorders>
              <w:top w:val="single" w:sz="4" w:space="0" w:color="auto"/>
              <w:left w:val="nil"/>
              <w:bottom w:val="single" w:sz="8" w:space="0" w:color="auto"/>
              <w:right w:val="single" w:sz="4" w:space="0" w:color="auto"/>
            </w:tcBorders>
            <w:shd w:val="clear" w:color="auto" w:fill="FFFFFF"/>
            <w:noWrap/>
            <w:vAlign w:val="bottom"/>
            <w:hideMark/>
          </w:tcPr>
          <w:p w14:paraId="109B3805" w14:textId="77777777" w:rsidR="00990C62" w:rsidRPr="00CA28DC" w:rsidRDefault="00990C62">
            <w:pPr>
              <w:jc w:val="right"/>
              <w:rPr>
                <w:sz w:val="24"/>
                <w:szCs w:val="24"/>
                <w:lang w:val="lt-LT"/>
              </w:rPr>
            </w:pPr>
            <w:r w:rsidRPr="00CA28DC">
              <w:rPr>
                <w:sz w:val="24"/>
                <w:szCs w:val="24"/>
                <w:lang w:val="lt-LT"/>
              </w:rPr>
              <w:t>45,29</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2DC0D748" w14:textId="77777777" w:rsidR="00990C62" w:rsidRPr="00CA28DC" w:rsidRDefault="00990C62">
            <w:pPr>
              <w:jc w:val="right"/>
              <w:rPr>
                <w:sz w:val="24"/>
                <w:szCs w:val="24"/>
                <w:lang w:val="lt-LT"/>
              </w:rPr>
            </w:pPr>
            <w:r w:rsidRPr="00CA28DC">
              <w:rPr>
                <w:sz w:val="24"/>
                <w:szCs w:val="24"/>
                <w:lang w:val="lt-LT"/>
              </w:rPr>
              <w:t>66,02</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5A0FB939" w14:textId="77777777" w:rsidR="00990C62" w:rsidRPr="00CA28DC" w:rsidRDefault="00990C62">
            <w:pPr>
              <w:jc w:val="right"/>
              <w:rPr>
                <w:sz w:val="24"/>
                <w:szCs w:val="24"/>
                <w:lang w:val="lt-LT"/>
              </w:rPr>
            </w:pPr>
            <w:r w:rsidRPr="00CA28DC">
              <w:rPr>
                <w:sz w:val="24"/>
                <w:szCs w:val="24"/>
                <w:lang w:val="lt-LT"/>
              </w:rPr>
              <w:t>91,32</w:t>
            </w:r>
          </w:p>
        </w:tc>
        <w:tc>
          <w:tcPr>
            <w:tcW w:w="1030" w:type="dxa"/>
            <w:tcBorders>
              <w:top w:val="single" w:sz="4" w:space="0" w:color="auto"/>
              <w:left w:val="nil"/>
              <w:bottom w:val="single" w:sz="8" w:space="0" w:color="auto"/>
              <w:right w:val="single" w:sz="4" w:space="0" w:color="auto"/>
            </w:tcBorders>
            <w:shd w:val="clear" w:color="auto" w:fill="FFFFFF"/>
            <w:noWrap/>
            <w:vAlign w:val="bottom"/>
            <w:hideMark/>
          </w:tcPr>
          <w:p w14:paraId="2841B845" w14:textId="77777777" w:rsidR="00990C62" w:rsidRPr="00CA28DC" w:rsidRDefault="00990C62">
            <w:pPr>
              <w:jc w:val="right"/>
              <w:rPr>
                <w:sz w:val="24"/>
                <w:szCs w:val="24"/>
                <w:lang w:val="lt-LT"/>
              </w:rPr>
            </w:pPr>
            <w:r w:rsidRPr="00CA28DC">
              <w:rPr>
                <w:sz w:val="24"/>
                <w:szCs w:val="24"/>
                <w:lang w:val="lt-LT"/>
              </w:rPr>
              <w:t>88,96</w:t>
            </w:r>
          </w:p>
        </w:tc>
      </w:tr>
    </w:tbl>
    <w:p w14:paraId="47EC0EF8" w14:textId="77777777" w:rsidR="00990C62" w:rsidRPr="00CA28DC" w:rsidRDefault="00990C62" w:rsidP="002C38D9">
      <w:pPr>
        <w:pStyle w:val="Betarp"/>
        <w:jc w:val="both"/>
        <w:rPr>
          <w:rFonts w:ascii="Times New Roman" w:hAnsi="Times New Roman"/>
          <w:sz w:val="24"/>
          <w:szCs w:val="24"/>
        </w:rPr>
      </w:pPr>
    </w:p>
    <w:p w14:paraId="46070E8B" w14:textId="77777777" w:rsidR="00990C62" w:rsidRPr="00CA28DC" w:rsidRDefault="00990C62" w:rsidP="003E54BE">
      <w:pPr>
        <w:pStyle w:val="Betarp"/>
        <w:ind w:firstLine="709"/>
        <w:jc w:val="both"/>
        <w:rPr>
          <w:rFonts w:ascii="Times New Roman" w:hAnsi="Times New Roman"/>
          <w:sz w:val="24"/>
          <w:szCs w:val="24"/>
        </w:rPr>
      </w:pPr>
      <w:r w:rsidRPr="00CA28DC">
        <w:rPr>
          <w:rFonts w:ascii="Times New Roman" w:hAnsi="Times New Roman"/>
          <w:b/>
          <w:bCs/>
          <w:sz w:val="24"/>
          <w:szCs w:val="24"/>
        </w:rPr>
        <w:t xml:space="preserve">Pelnas </w:t>
      </w:r>
      <w:r w:rsidRPr="00CA28DC">
        <w:rPr>
          <w:rFonts w:ascii="Times New Roman" w:hAnsi="Times New Roman"/>
          <w:sz w:val="24"/>
          <w:szCs w:val="24"/>
        </w:rPr>
        <w:t>labai svarbus vertinimo kriterijus, jo reikia bendrovės finansiniam verslo pajėgumui užtikrinti.</w:t>
      </w:r>
    </w:p>
    <w:p w14:paraId="17C5CB28" w14:textId="4B2BF876" w:rsidR="00990C62" w:rsidRPr="00CA28DC" w:rsidRDefault="00990C62" w:rsidP="002C38D9">
      <w:pPr>
        <w:pStyle w:val="Default"/>
        <w:numPr>
          <w:ilvl w:val="0"/>
          <w:numId w:val="17"/>
        </w:numPr>
        <w:jc w:val="both"/>
        <w:rPr>
          <w:color w:val="auto"/>
        </w:rPr>
      </w:pPr>
      <w:r w:rsidRPr="00CA28DC">
        <w:rPr>
          <w:color w:val="auto"/>
          <w:u w:val="single"/>
        </w:rPr>
        <w:t>Bendrasis pelningumas</w:t>
      </w:r>
      <w:r w:rsidRPr="00CA28DC">
        <w:rPr>
          <w:color w:val="auto"/>
        </w:rPr>
        <w:t xml:space="preserve"> </w:t>
      </w:r>
      <w:r w:rsidRPr="00CA28DC">
        <w:rPr>
          <w:i/>
          <w:iCs/>
          <w:color w:val="auto"/>
        </w:rPr>
        <w:t>(Bendrasis pelnas/pardavimų pajamos)*100%</w:t>
      </w:r>
    </w:p>
    <w:p w14:paraId="1A0F7D26" w14:textId="77777777" w:rsidR="00990C62" w:rsidRPr="00CA28DC" w:rsidRDefault="00990C62" w:rsidP="002C38D9">
      <w:pPr>
        <w:pStyle w:val="Default"/>
        <w:numPr>
          <w:ilvl w:val="0"/>
          <w:numId w:val="17"/>
        </w:numPr>
        <w:jc w:val="both"/>
        <w:rPr>
          <w:color w:val="auto"/>
        </w:rPr>
      </w:pPr>
      <w:r w:rsidRPr="00CA28DC">
        <w:rPr>
          <w:color w:val="auto"/>
        </w:rPr>
        <w:t xml:space="preserve">Parodo bendrovės sugebėjimą uždirbti pelną iš pagrindinės bendrovės veiklos, kontroliuoti pardavimo pajamų bei pardavimo savikainos lygį. </w:t>
      </w:r>
    </w:p>
    <w:p w14:paraId="5F40D672" w14:textId="66C07EF2" w:rsidR="00990C62" w:rsidRPr="00CA28DC" w:rsidRDefault="00990C62" w:rsidP="002C38D9">
      <w:pPr>
        <w:pStyle w:val="Pa8"/>
        <w:ind w:firstLine="280"/>
        <w:jc w:val="both"/>
        <w:rPr>
          <w:rFonts w:ascii="Times New Roman" w:hAnsi="Times New Roman"/>
        </w:rPr>
      </w:pPr>
      <w:r w:rsidRPr="00CA28DC">
        <w:rPr>
          <w:rFonts w:ascii="Times New Roman" w:hAnsi="Times New Roman"/>
        </w:rPr>
        <w:t xml:space="preserve">        </w:t>
      </w:r>
      <w:r w:rsidRPr="00CA28DC">
        <w:rPr>
          <w:rFonts w:ascii="Times New Roman" w:hAnsi="Times New Roman"/>
          <w:u w:val="single"/>
        </w:rPr>
        <w:t>Veiklos pelningumas</w:t>
      </w:r>
      <w:r w:rsidRPr="00CA28DC">
        <w:rPr>
          <w:rFonts w:ascii="Times New Roman" w:hAnsi="Times New Roman"/>
        </w:rPr>
        <w:t xml:space="preserve"> </w:t>
      </w:r>
      <w:r w:rsidRPr="00CA28DC">
        <w:rPr>
          <w:rFonts w:ascii="Times New Roman" w:hAnsi="Times New Roman"/>
          <w:i/>
          <w:iCs/>
        </w:rPr>
        <w:t xml:space="preserve">(Veiklos pelnas/pardavimų pajamos)*100% </w:t>
      </w:r>
    </w:p>
    <w:p w14:paraId="556FC3BB" w14:textId="70E791B8" w:rsidR="00990C62" w:rsidRPr="00CA28DC" w:rsidRDefault="003E54BE" w:rsidP="002C38D9">
      <w:pPr>
        <w:pStyle w:val="Default"/>
        <w:jc w:val="both"/>
        <w:rPr>
          <w:color w:val="auto"/>
        </w:rPr>
      </w:pPr>
      <w:r w:rsidRPr="00CA28DC">
        <w:rPr>
          <w:color w:val="auto"/>
        </w:rPr>
        <w:tab/>
      </w:r>
      <w:r w:rsidR="00990C62" w:rsidRPr="00CA28DC">
        <w:rPr>
          <w:color w:val="auto"/>
        </w:rPr>
        <w:t xml:space="preserve">Įvertina pelningumą atsižvelgiant į visas veiklos sąnaudas. </w:t>
      </w:r>
    </w:p>
    <w:p w14:paraId="3BB4C17D" w14:textId="77777777" w:rsidR="00990C62" w:rsidRPr="00CA28DC" w:rsidRDefault="00990C62" w:rsidP="002C38D9">
      <w:pPr>
        <w:pStyle w:val="Pa8"/>
        <w:ind w:firstLine="280"/>
        <w:jc w:val="both"/>
        <w:rPr>
          <w:rFonts w:ascii="Times New Roman" w:hAnsi="Times New Roman"/>
        </w:rPr>
      </w:pPr>
      <w:r w:rsidRPr="00CA28DC">
        <w:rPr>
          <w:rFonts w:ascii="Times New Roman" w:hAnsi="Times New Roman"/>
        </w:rPr>
        <w:lastRenderedPageBreak/>
        <w:tab/>
      </w:r>
      <w:r w:rsidRPr="00CA28DC">
        <w:rPr>
          <w:rFonts w:ascii="Times New Roman" w:hAnsi="Times New Roman"/>
          <w:u w:val="single"/>
        </w:rPr>
        <w:t>Grynasis pelningumas</w:t>
      </w:r>
      <w:r w:rsidRPr="00CA28DC">
        <w:rPr>
          <w:rFonts w:ascii="Times New Roman" w:hAnsi="Times New Roman"/>
        </w:rPr>
        <w:t xml:space="preserve"> </w:t>
      </w:r>
      <w:r w:rsidRPr="00CA28DC">
        <w:rPr>
          <w:rFonts w:ascii="Times New Roman" w:hAnsi="Times New Roman"/>
          <w:i/>
          <w:iCs/>
        </w:rPr>
        <w:t xml:space="preserve">(Grynasis pelnas/pardavimų pajamos)*100% </w:t>
      </w:r>
    </w:p>
    <w:p w14:paraId="206FA91C" w14:textId="77777777" w:rsidR="00990C62" w:rsidRPr="00CA28DC" w:rsidRDefault="00990C62" w:rsidP="002C38D9">
      <w:pPr>
        <w:pStyle w:val="Default"/>
        <w:numPr>
          <w:ilvl w:val="0"/>
          <w:numId w:val="18"/>
        </w:numPr>
        <w:jc w:val="both"/>
        <w:rPr>
          <w:color w:val="auto"/>
        </w:rPr>
      </w:pPr>
      <w:r w:rsidRPr="00CA28DC">
        <w:rPr>
          <w:color w:val="auto"/>
        </w:rPr>
        <w:t>Įvertina pelningumą po visų sąnaudų ir mokesčių. Rodo kiek grynojo pelno tenka vienam pardavimo eurui.</w:t>
      </w:r>
    </w:p>
    <w:p w14:paraId="76B762B2" w14:textId="77777777" w:rsidR="00990C62" w:rsidRPr="00CA28DC" w:rsidRDefault="00990C62" w:rsidP="002C38D9">
      <w:pPr>
        <w:autoSpaceDE w:val="0"/>
        <w:autoSpaceDN w:val="0"/>
        <w:adjustRightInd w:val="0"/>
        <w:spacing w:line="221" w:lineRule="atLeast"/>
        <w:ind w:firstLine="720"/>
        <w:jc w:val="both"/>
        <w:rPr>
          <w:sz w:val="24"/>
          <w:szCs w:val="24"/>
          <w:lang w:val="lt-LT"/>
        </w:rPr>
      </w:pPr>
      <w:r w:rsidRPr="00CA28DC">
        <w:rPr>
          <w:sz w:val="24"/>
          <w:szCs w:val="24"/>
          <w:u w:val="single"/>
          <w:lang w:val="lt-LT"/>
        </w:rPr>
        <w:t>EBIT, EBITDA pelningumas (</w:t>
      </w:r>
      <w:r w:rsidRPr="00CA28DC">
        <w:rPr>
          <w:sz w:val="24"/>
          <w:szCs w:val="24"/>
          <w:lang w:val="lt-LT"/>
        </w:rPr>
        <w:t xml:space="preserve">EBIT = grynasis pelnas + palūkanos + pelno mokestis </w:t>
      </w:r>
    </w:p>
    <w:p w14:paraId="74524A76" w14:textId="77777777" w:rsidR="00990C62" w:rsidRPr="00CA28DC" w:rsidRDefault="00990C62" w:rsidP="002C38D9">
      <w:pPr>
        <w:numPr>
          <w:ilvl w:val="0"/>
          <w:numId w:val="19"/>
        </w:numPr>
        <w:autoSpaceDE w:val="0"/>
        <w:autoSpaceDN w:val="0"/>
        <w:adjustRightInd w:val="0"/>
        <w:jc w:val="both"/>
        <w:rPr>
          <w:sz w:val="24"/>
          <w:szCs w:val="24"/>
          <w:lang w:val="lt-LT"/>
        </w:rPr>
      </w:pPr>
      <w:r w:rsidRPr="00CA28DC">
        <w:rPr>
          <w:sz w:val="24"/>
          <w:szCs w:val="24"/>
          <w:lang w:val="lt-LT"/>
        </w:rPr>
        <w:t>EBITDA= grynasis pelnas + palūkanos + pelno mokestis + nusidėvėjimas + amortizacija )</w:t>
      </w:r>
    </w:p>
    <w:p w14:paraId="13FF7E31" w14:textId="77777777" w:rsidR="00990C62" w:rsidRPr="00CA28DC" w:rsidRDefault="00990C62" w:rsidP="002C38D9">
      <w:pPr>
        <w:numPr>
          <w:ilvl w:val="0"/>
          <w:numId w:val="19"/>
        </w:numPr>
        <w:autoSpaceDE w:val="0"/>
        <w:autoSpaceDN w:val="0"/>
        <w:adjustRightInd w:val="0"/>
        <w:jc w:val="both"/>
        <w:rPr>
          <w:sz w:val="24"/>
          <w:szCs w:val="24"/>
          <w:lang w:val="lt-LT"/>
        </w:rPr>
      </w:pPr>
      <w:r w:rsidRPr="00CA28DC">
        <w:rPr>
          <w:i/>
          <w:iCs/>
          <w:sz w:val="24"/>
          <w:szCs w:val="24"/>
          <w:lang w:val="lt-LT"/>
        </w:rPr>
        <w:t xml:space="preserve">EBIT pelningumas = (EBIT)/ Pardavimų pajamos) *100% </w:t>
      </w:r>
    </w:p>
    <w:p w14:paraId="4B98D1E0" w14:textId="77777777" w:rsidR="00990C62" w:rsidRPr="00CA28DC" w:rsidRDefault="00990C62" w:rsidP="002C38D9">
      <w:pPr>
        <w:numPr>
          <w:ilvl w:val="0"/>
          <w:numId w:val="19"/>
        </w:numPr>
        <w:autoSpaceDE w:val="0"/>
        <w:autoSpaceDN w:val="0"/>
        <w:adjustRightInd w:val="0"/>
        <w:jc w:val="both"/>
        <w:rPr>
          <w:sz w:val="24"/>
          <w:szCs w:val="24"/>
          <w:lang w:val="lt-LT"/>
        </w:rPr>
      </w:pPr>
      <w:r w:rsidRPr="00CA28DC">
        <w:rPr>
          <w:i/>
          <w:iCs/>
          <w:sz w:val="24"/>
          <w:szCs w:val="24"/>
          <w:lang w:val="lt-LT"/>
        </w:rPr>
        <w:t xml:space="preserve">EBITDA pelningumas = (EBITDA)/ Pardavimų pajamos) *100% </w:t>
      </w:r>
    </w:p>
    <w:p w14:paraId="40B8616E" w14:textId="77777777" w:rsidR="00990C62" w:rsidRPr="00CA28DC" w:rsidRDefault="00990C62" w:rsidP="002C38D9">
      <w:pPr>
        <w:numPr>
          <w:ilvl w:val="0"/>
          <w:numId w:val="19"/>
        </w:numPr>
        <w:autoSpaceDE w:val="0"/>
        <w:autoSpaceDN w:val="0"/>
        <w:adjustRightInd w:val="0"/>
        <w:jc w:val="both"/>
        <w:rPr>
          <w:sz w:val="24"/>
          <w:szCs w:val="24"/>
          <w:lang w:val="lt-LT"/>
        </w:rPr>
      </w:pPr>
      <w:r w:rsidRPr="00CA28DC">
        <w:rPr>
          <w:sz w:val="24"/>
          <w:szCs w:val="24"/>
          <w:lang w:val="lt-LT"/>
        </w:rPr>
        <w:t>EBITDA parodo kiek vienas pardavimo euras uždirbo pelno. 2020 metais EBITDOS padidėjimas palyginus su praėjusiais metais rodo bendrovės lėšų investavimą į veiklos efektyvumą didinančių  programų atnaujinimą.</w:t>
      </w:r>
    </w:p>
    <w:p w14:paraId="7C7E97BE" w14:textId="77777777" w:rsidR="00990C62" w:rsidRPr="00CA28DC" w:rsidRDefault="00990C62" w:rsidP="002C38D9">
      <w:pPr>
        <w:autoSpaceDE w:val="0"/>
        <w:autoSpaceDN w:val="0"/>
        <w:adjustRightInd w:val="0"/>
        <w:spacing w:line="221" w:lineRule="atLeast"/>
        <w:ind w:firstLine="720"/>
        <w:jc w:val="both"/>
        <w:rPr>
          <w:sz w:val="24"/>
          <w:szCs w:val="24"/>
          <w:lang w:val="lt-LT"/>
        </w:rPr>
      </w:pPr>
      <w:r w:rsidRPr="00CA28DC">
        <w:rPr>
          <w:sz w:val="24"/>
          <w:szCs w:val="24"/>
          <w:u w:val="single"/>
          <w:lang w:val="lt-LT"/>
        </w:rPr>
        <w:t>Nuosavo kapitalo grąža</w:t>
      </w:r>
      <w:r w:rsidRPr="00CA28DC">
        <w:rPr>
          <w:sz w:val="24"/>
          <w:szCs w:val="24"/>
          <w:lang w:val="lt-LT"/>
        </w:rPr>
        <w:t xml:space="preserve"> </w:t>
      </w:r>
      <w:r w:rsidRPr="00CA28DC">
        <w:rPr>
          <w:i/>
          <w:iCs/>
          <w:sz w:val="24"/>
          <w:szCs w:val="24"/>
          <w:lang w:val="lt-LT"/>
        </w:rPr>
        <w:t>(Grynasis pelnas/Nuosavas kapitalas</w:t>
      </w:r>
      <w:r w:rsidRPr="00CA28DC">
        <w:rPr>
          <w:sz w:val="24"/>
          <w:szCs w:val="24"/>
          <w:lang w:val="lt-LT"/>
        </w:rPr>
        <w:t>)</w:t>
      </w:r>
      <w:r w:rsidRPr="00CA28DC">
        <w:rPr>
          <w:i/>
          <w:iCs/>
          <w:sz w:val="24"/>
          <w:szCs w:val="24"/>
          <w:lang w:val="lt-LT"/>
        </w:rPr>
        <w:t xml:space="preserve">*100% </w:t>
      </w:r>
    </w:p>
    <w:p w14:paraId="62367BD0" w14:textId="77777777" w:rsidR="003E54BE" w:rsidRPr="00CA28DC" w:rsidRDefault="00990C62" w:rsidP="003E54BE">
      <w:pPr>
        <w:numPr>
          <w:ilvl w:val="0"/>
          <w:numId w:val="20"/>
        </w:numPr>
        <w:autoSpaceDE w:val="0"/>
        <w:autoSpaceDN w:val="0"/>
        <w:adjustRightInd w:val="0"/>
        <w:jc w:val="both"/>
        <w:rPr>
          <w:sz w:val="24"/>
          <w:szCs w:val="24"/>
          <w:lang w:val="lt-LT"/>
        </w:rPr>
      </w:pPr>
      <w:r w:rsidRPr="00CA28DC">
        <w:rPr>
          <w:sz w:val="24"/>
          <w:szCs w:val="24"/>
          <w:lang w:val="lt-LT"/>
        </w:rPr>
        <w:t>Parodo kiek euro centų uždirbo vienas kapitalo euras. Grąža priklauso ne tik nuo pelningumo, bet ir nuo ka</w:t>
      </w:r>
      <w:r w:rsidRPr="00CA28DC">
        <w:rPr>
          <w:sz w:val="24"/>
          <w:szCs w:val="24"/>
          <w:lang w:val="lt-LT"/>
        </w:rPr>
        <w:softHyphen/>
        <w:t xml:space="preserve">pitalo struktūros (kuo daugiau skolinto kapitalo, tuo didesnė nuosavo kapitalo grąža, bet tuo pačiu ir verslo rizika). </w:t>
      </w:r>
      <w:bookmarkStart w:id="1" w:name="_Hlk68006649"/>
      <w:r w:rsidRPr="00CA28DC">
        <w:rPr>
          <w:sz w:val="24"/>
          <w:szCs w:val="24"/>
          <w:lang w:val="lt-LT"/>
        </w:rPr>
        <w:t xml:space="preserve">Paprastai rodiklis virš 10% vertinamas kaip </w:t>
      </w:r>
      <w:bookmarkEnd w:id="1"/>
      <w:r w:rsidRPr="00CA28DC">
        <w:rPr>
          <w:sz w:val="24"/>
          <w:szCs w:val="24"/>
          <w:lang w:val="lt-LT"/>
        </w:rPr>
        <w:t xml:space="preserve">pakankamai geras, virš 20% - išskirtinai geras. </w:t>
      </w:r>
    </w:p>
    <w:p w14:paraId="7DB1759C" w14:textId="5F38C9E8" w:rsidR="00990C62" w:rsidRPr="00CA28DC" w:rsidRDefault="00990C62" w:rsidP="003E54BE">
      <w:pPr>
        <w:numPr>
          <w:ilvl w:val="0"/>
          <w:numId w:val="20"/>
        </w:numPr>
        <w:autoSpaceDE w:val="0"/>
        <w:autoSpaceDN w:val="0"/>
        <w:adjustRightInd w:val="0"/>
        <w:jc w:val="both"/>
        <w:rPr>
          <w:sz w:val="24"/>
          <w:szCs w:val="24"/>
          <w:lang w:val="lt-LT"/>
        </w:rPr>
      </w:pPr>
      <w:r w:rsidRPr="00CA28DC">
        <w:rPr>
          <w:sz w:val="24"/>
          <w:szCs w:val="24"/>
          <w:u w:val="single"/>
          <w:lang w:val="lt-LT"/>
        </w:rPr>
        <w:t xml:space="preserve">Turto grąža </w:t>
      </w:r>
      <w:r w:rsidRPr="00CA28DC">
        <w:rPr>
          <w:i/>
          <w:iCs/>
          <w:sz w:val="24"/>
          <w:szCs w:val="24"/>
          <w:lang w:val="lt-LT"/>
        </w:rPr>
        <w:t>(Grynasis pelnas/Turtas</w:t>
      </w:r>
      <w:r w:rsidRPr="00CA28DC">
        <w:rPr>
          <w:sz w:val="24"/>
          <w:szCs w:val="24"/>
          <w:lang w:val="lt-LT"/>
        </w:rPr>
        <w:t>)</w:t>
      </w:r>
      <w:r w:rsidRPr="00CA28DC">
        <w:rPr>
          <w:i/>
          <w:iCs/>
          <w:sz w:val="24"/>
          <w:szCs w:val="24"/>
          <w:lang w:val="lt-LT"/>
        </w:rPr>
        <w:t xml:space="preserve">*100% </w:t>
      </w:r>
    </w:p>
    <w:p w14:paraId="5E522990" w14:textId="5BF1F15B" w:rsidR="00990C62" w:rsidRPr="00CA28DC" w:rsidRDefault="00990C62" w:rsidP="002C38D9">
      <w:pPr>
        <w:numPr>
          <w:ilvl w:val="0"/>
          <w:numId w:val="21"/>
        </w:numPr>
        <w:autoSpaceDE w:val="0"/>
        <w:autoSpaceDN w:val="0"/>
        <w:adjustRightInd w:val="0"/>
        <w:jc w:val="both"/>
        <w:rPr>
          <w:sz w:val="24"/>
          <w:szCs w:val="24"/>
          <w:lang w:val="lt-LT"/>
        </w:rPr>
      </w:pPr>
      <w:r w:rsidRPr="00CA28DC">
        <w:rPr>
          <w:sz w:val="24"/>
          <w:szCs w:val="24"/>
          <w:lang w:val="lt-LT"/>
        </w:rPr>
        <w:t xml:space="preserve">Turto grąža parodo kiek bendrovės turto euras atnešė centų grynojo pelno. Paprastai rodiklis virš 10% vertinamas kaip pakankamai geras, virš 20% </w:t>
      </w:r>
      <w:r w:rsidR="00CA28DC" w:rsidRPr="00CA28DC">
        <w:rPr>
          <w:sz w:val="24"/>
          <w:szCs w:val="24"/>
          <w:lang w:val="lt-LT"/>
        </w:rPr>
        <w:t xml:space="preserve">– </w:t>
      </w:r>
      <w:r w:rsidRPr="00CA28DC">
        <w:rPr>
          <w:sz w:val="24"/>
          <w:szCs w:val="24"/>
          <w:lang w:val="lt-LT"/>
        </w:rPr>
        <w:t xml:space="preserve">išskirtinai geras.      </w:t>
      </w:r>
    </w:p>
    <w:p w14:paraId="43DE372D" w14:textId="77777777" w:rsidR="00CA28DC" w:rsidRPr="00CA28DC" w:rsidRDefault="00990C62" w:rsidP="00CA28DC">
      <w:pPr>
        <w:numPr>
          <w:ilvl w:val="7"/>
          <w:numId w:val="21"/>
        </w:numPr>
        <w:autoSpaceDE w:val="0"/>
        <w:autoSpaceDN w:val="0"/>
        <w:adjustRightInd w:val="0"/>
        <w:jc w:val="both"/>
        <w:rPr>
          <w:sz w:val="24"/>
          <w:szCs w:val="24"/>
          <w:lang w:val="lt-LT"/>
        </w:rPr>
      </w:pPr>
      <w:r w:rsidRPr="00CA28DC">
        <w:rPr>
          <w:b/>
          <w:bCs/>
          <w:sz w:val="24"/>
          <w:szCs w:val="24"/>
          <w:lang w:val="lt-LT"/>
        </w:rPr>
        <w:t>Likvidumas</w:t>
      </w:r>
      <w:r w:rsidRPr="00CA28DC">
        <w:rPr>
          <w:sz w:val="24"/>
          <w:szCs w:val="24"/>
          <w:lang w:val="lt-LT"/>
        </w:rPr>
        <w:t xml:space="preserve"> – tiesiogiai susijęs su pinigų srautais ir trumpalaikio turto struktūra (ar dominuoja likvidus turtas, ar mažiau likvidus, pvz. atsargos) </w:t>
      </w:r>
    </w:p>
    <w:p w14:paraId="63DD4C3D" w14:textId="3EF78D45" w:rsidR="00990C62" w:rsidRPr="00CA28DC" w:rsidRDefault="00990C62" w:rsidP="00CA28DC">
      <w:pPr>
        <w:numPr>
          <w:ilvl w:val="7"/>
          <w:numId w:val="21"/>
        </w:numPr>
        <w:autoSpaceDE w:val="0"/>
        <w:autoSpaceDN w:val="0"/>
        <w:adjustRightInd w:val="0"/>
        <w:jc w:val="both"/>
        <w:rPr>
          <w:sz w:val="24"/>
          <w:szCs w:val="24"/>
          <w:lang w:val="lt-LT"/>
        </w:rPr>
      </w:pPr>
      <w:r w:rsidRPr="00CA28DC">
        <w:rPr>
          <w:sz w:val="24"/>
          <w:szCs w:val="24"/>
          <w:u w:val="single"/>
          <w:lang w:val="lt-LT"/>
        </w:rPr>
        <w:t>Bendrasis padengimo koeficientas (</w:t>
      </w:r>
      <w:r w:rsidRPr="00CA28DC">
        <w:rPr>
          <w:i/>
          <w:iCs/>
          <w:sz w:val="24"/>
          <w:szCs w:val="24"/>
          <w:lang w:val="lt-LT"/>
        </w:rPr>
        <w:t>Trumpalaikis turtas/trumpalaikiai įsipareigojimai )</w:t>
      </w:r>
    </w:p>
    <w:p w14:paraId="08D4B36C" w14:textId="77777777" w:rsidR="00CA28DC" w:rsidRPr="00CA28DC" w:rsidRDefault="00990C62" w:rsidP="00CA28DC">
      <w:pPr>
        <w:numPr>
          <w:ilvl w:val="0"/>
          <w:numId w:val="22"/>
        </w:numPr>
        <w:autoSpaceDE w:val="0"/>
        <w:autoSpaceDN w:val="0"/>
        <w:adjustRightInd w:val="0"/>
        <w:jc w:val="both"/>
        <w:rPr>
          <w:sz w:val="24"/>
          <w:szCs w:val="24"/>
          <w:lang w:val="lt-LT"/>
        </w:rPr>
      </w:pPr>
      <w:r w:rsidRPr="00CA28DC">
        <w:rPr>
          <w:sz w:val="24"/>
          <w:szCs w:val="24"/>
          <w:lang w:val="lt-LT"/>
        </w:rPr>
        <w:t>Kuo aukštesnis rodiklis, tuo įmonės likvidumo situacija saugesnė. Rekomenduojamas 1.2-2 (pri</w:t>
      </w:r>
      <w:r w:rsidRPr="00CA28DC">
        <w:rPr>
          <w:sz w:val="24"/>
          <w:szCs w:val="24"/>
          <w:lang w:val="lt-LT"/>
        </w:rPr>
        <w:softHyphen/>
        <w:t>klausomai nuo industrijos). Svarbu stebėti ne tik rodiklio reikšmę, bet ir pokyčius per kelis metus bei trumpa</w:t>
      </w:r>
      <w:r w:rsidRPr="00CA28DC">
        <w:rPr>
          <w:sz w:val="24"/>
          <w:szCs w:val="24"/>
          <w:lang w:val="lt-LT"/>
        </w:rPr>
        <w:softHyphen/>
        <w:t xml:space="preserve">laikio turto struktūrą. </w:t>
      </w:r>
    </w:p>
    <w:p w14:paraId="36FBFCBF" w14:textId="62F3EB95" w:rsidR="00990C62" w:rsidRPr="00CA28DC" w:rsidRDefault="00990C62" w:rsidP="00CA28DC">
      <w:pPr>
        <w:numPr>
          <w:ilvl w:val="0"/>
          <w:numId w:val="22"/>
        </w:numPr>
        <w:autoSpaceDE w:val="0"/>
        <w:autoSpaceDN w:val="0"/>
        <w:adjustRightInd w:val="0"/>
        <w:jc w:val="both"/>
        <w:rPr>
          <w:sz w:val="24"/>
          <w:szCs w:val="24"/>
          <w:lang w:val="lt-LT"/>
        </w:rPr>
      </w:pPr>
      <w:r w:rsidRPr="00CA28DC">
        <w:rPr>
          <w:sz w:val="24"/>
          <w:szCs w:val="24"/>
          <w:u w:val="single"/>
          <w:lang w:val="lt-LT"/>
        </w:rPr>
        <w:t xml:space="preserve">Skubaus padengimo koeficientas </w:t>
      </w:r>
      <w:r w:rsidRPr="00CA28DC">
        <w:rPr>
          <w:i/>
          <w:iCs/>
          <w:sz w:val="24"/>
          <w:szCs w:val="24"/>
          <w:lang w:val="lt-LT"/>
        </w:rPr>
        <w:t xml:space="preserve">(grynieji pinigai + trumpalaikiai VP + gautinos sumos)/trumpalaikiai įsipareigojimai </w:t>
      </w:r>
    </w:p>
    <w:p w14:paraId="7C1BF7F6" w14:textId="4C8CC20A" w:rsidR="00990C62" w:rsidRPr="00CA28DC" w:rsidRDefault="00990C62" w:rsidP="002C38D9">
      <w:pPr>
        <w:numPr>
          <w:ilvl w:val="0"/>
          <w:numId w:val="23"/>
        </w:numPr>
        <w:autoSpaceDE w:val="0"/>
        <w:autoSpaceDN w:val="0"/>
        <w:adjustRightInd w:val="0"/>
        <w:jc w:val="both"/>
        <w:rPr>
          <w:sz w:val="24"/>
          <w:szCs w:val="24"/>
          <w:lang w:val="lt-LT"/>
        </w:rPr>
      </w:pPr>
      <w:r w:rsidRPr="00CA28DC">
        <w:rPr>
          <w:sz w:val="24"/>
          <w:szCs w:val="24"/>
          <w:lang w:val="lt-LT"/>
        </w:rPr>
        <w:t>Pasaulinėje praktikoje žemesnė nei 0.5 reikšmė laikoma nepatenkinama, siektinas rodiklio dydis 1.0</w:t>
      </w:r>
      <w:r w:rsidR="00CA28DC" w:rsidRPr="00CA28DC">
        <w:rPr>
          <w:sz w:val="24"/>
          <w:szCs w:val="24"/>
          <w:lang w:val="lt-LT"/>
        </w:rPr>
        <w:t>–</w:t>
      </w:r>
      <w:r w:rsidRPr="00CA28DC">
        <w:rPr>
          <w:sz w:val="24"/>
          <w:szCs w:val="24"/>
          <w:lang w:val="lt-LT"/>
        </w:rPr>
        <w:t xml:space="preserve">1.5. </w:t>
      </w:r>
    </w:p>
    <w:p w14:paraId="58048AA2"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u w:val="single"/>
          <w:lang w:val="lt-LT"/>
        </w:rPr>
        <w:t>Pinigų padengimo koeficientas (</w:t>
      </w:r>
      <w:r w:rsidRPr="00CA28DC">
        <w:rPr>
          <w:i/>
          <w:iCs/>
          <w:sz w:val="24"/>
          <w:szCs w:val="24"/>
          <w:lang w:val="lt-LT"/>
        </w:rPr>
        <w:t>grynieji pinigai/trumpalaikiai įsipareigojimai )</w:t>
      </w:r>
    </w:p>
    <w:p w14:paraId="51F34FDD" w14:textId="77777777" w:rsidR="00CA28DC" w:rsidRPr="00CA28DC" w:rsidRDefault="00990C62" w:rsidP="00CA28DC">
      <w:pPr>
        <w:numPr>
          <w:ilvl w:val="0"/>
          <w:numId w:val="24"/>
        </w:numPr>
        <w:autoSpaceDE w:val="0"/>
        <w:autoSpaceDN w:val="0"/>
        <w:adjustRightInd w:val="0"/>
        <w:jc w:val="both"/>
        <w:rPr>
          <w:sz w:val="24"/>
          <w:szCs w:val="24"/>
          <w:lang w:val="lt-LT"/>
        </w:rPr>
      </w:pPr>
      <w:r w:rsidRPr="00CA28DC">
        <w:rPr>
          <w:sz w:val="24"/>
          <w:szCs w:val="24"/>
          <w:lang w:val="lt-LT"/>
        </w:rPr>
        <w:t>Pasaulinėje praktikoje 0.25</w:t>
      </w:r>
      <w:r w:rsidR="00CA28DC" w:rsidRPr="00CA28DC">
        <w:rPr>
          <w:sz w:val="24"/>
          <w:szCs w:val="24"/>
          <w:lang w:val="lt-LT"/>
        </w:rPr>
        <w:t>–</w:t>
      </w:r>
      <w:r w:rsidRPr="00CA28DC">
        <w:rPr>
          <w:sz w:val="24"/>
          <w:szCs w:val="24"/>
          <w:lang w:val="lt-LT"/>
        </w:rPr>
        <w:t xml:space="preserve">0.3 – priimtinas rodiklio dydis. </w:t>
      </w:r>
    </w:p>
    <w:p w14:paraId="3D361A8F" w14:textId="77777777" w:rsidR="00CA28DC" w:rsidRPr="00CA28DC" w:rsidRDefault="00990C62" w:rsidP="002C38D9">
      <w:pPr>
        <w:numPr>
          <w:ilvl w:val="0"/>
          <w:numId w:val="24"/>
        </w:numPr>
        <w:autoSpaceDE w:val="0"/>
        <w:autoSpaceDN w:val="0"/>
        <w:adjustRightInd w:val="0"/>
        <w:jc w:val="both"/>
        <w:rPr>
          <w:sz w:val="24"/>
          <w:szCs w:val="24"/>
          <w:lang w:val="lt-LT"/>
        </w:rPr>
      </w:pPr>
      <w:r w:rsidRPr="00CA28DC">
        <w:rPr>
          <w:sz w:val="24"/>
          <w:szCs w:val="24"/>
          <w:u w:val="single"/>
          <w:lang w:val="lt-LT"/>
        </w:rPr>
        <w:t>Apyvartinio kapitalo ir turto santykis</w:t>
      </w:r>
      <w:r w:rsidRPr="00CA28DC">
        <w:rPr>
          <w:sz w:val="24"/>
          <w:szCs w:val="24"/>
          <w:lang w:val="lt-LT"/>
        </w:rPr>
        <w:t xml:space="preserve"> </w:t>
      </w:r>
      <w:r w:rsidRPr="00CA28DC">
        <w:rPr>
          <w:i/>
          <w:iCs/>
          <w:sz w:val="24"/>
          <w:szCs w:val="24"/>
          <w:lang w:val="lt-LT"/>
        </w:rPr>
        <w:t xml:space="preserve">(trumpalaikis turtas-trumpalaikiai įsipareigojimai)/turtas </w:t>
      </w:r>
    </w:p>
    <w:p w14:paraId="13277177" w14:textId="5FA5A927" w:rsidR="00990C62" w:rsidRPr="00CA28DC" w:rsidRDefault="00990C62" w:rsidP="002C38D9">
      <w:pPr>
        <w:numPr>
          <w:ilvl w:val="0"/>
          <w:numId w:val="24"/>
        </w:numPr>
        <w:autoSpaceDE w:val="0"/>
        <w:autoSpaceDN w:val="0"/>
        <w:adjustRightInd w:val="0"/>
        <w:jc w:val="both"/>
        <w:rPr>
          <w:sz w:val="24"/>
          <w:szCs w:val="24"/>
          <w:lang w:val="lt-LT"/>
        </w:rPr>
      </w:pPr>
      <w:proofErr w:type="spellStart"/>
      <w:r w:rsidRPr="00CA28DC">
        <w:rPr>
          <w:sz w:val="24"/>
          <w:szCs w:val="24"/>
        </w:rPr>
        <w:t>Kuo</w:t>
      </w:r>
      <w:proofErr w:type="spellEnd"/>
      <w:r w:rsidRPr="00CA28DC">
        <w:rPr>
          <w:sz w:val="24"/>
          <w:szCs w:val="24"/>
        </w:rPr>
        <w:t xml:space="preserve"> </w:t>
      </w:r>
      <w:proofErr w:type="spellStart"/>
      <w:r w:rsidRPr="00CA28DC">
        <w:rPr>
          <w:sz w:val="24"/>
          <w:szCs w:val="24"/>
        </w:rPr>
        <w:t>didesnis</w:t>
      </w:r>
      <w:proofErr w:type="spellEnd"/>
      <w:r w:rsidRPr="00CA28DC">
        <w:rPr>
          <w:sz w:val="24"/>
          <w:szCs w:val="24"/>
        </w:rPr>
        <w:t xml:space="preserve"> </w:t>
      </w:r>
      <w:proofErr w:type="spellStart"/>
      <w:r w:rsidRPr="00CA28DC">
        <w:rPr>
          <w:sz w:val="24"/>
          <w:szCs w:val="24"/>
        </w:rPr>
        <w:t>apyvartinio</w:t>
      </w:r>
      <w:proofErr w:type="spellEnd"/>
      <w:r w:rsidRPr="00CA28DC">
        <w:rPr>
          <w:sz w:val="24"/>
          <w:szCs w:val="24"/>
        </w:rPr>
        <w:t xml:space="preserve"> </w:t>
      </w:r>
      <w:proofErr w:type="spellStart"/>
      <w:r w:rsidRPr="00CA28DC">
        <w:rPr>
          <w:sz w:val="24"/>
          <w:szCs w:val="24"/>
        </w:rPr>
        <w:t>kapitalo</w:t>
      </w:r>
      <w:proofErr w:type="spellEnd"/>
      <w:r w:rsidRPr="00CA28DC">
        <w:rPr>
          <w:sz w:val="24"/>
          <w:szCs w:val="24"/>
        </w:rPr>
        <w:t xml:space="preserve"> ir turto santykis tuo bendrovei geriau, kadangi šis rodiklis parodo bendrovės trumpalaikio mokumo lygį.</w:t>
      </w:r>
    </w:p>
    <w:p w14:paraId="25B0A8BC" w14:textId="77777777" w:rsidR="00CA28DC" w:rsidRPr="00CA28DC" w:rsidRDefault="00990C62" w:rsidP="00CA28DC">
      <w:pPr>
        <w:numPr>
          <w:ilvl w:val="0"/>
          <w:numId w:val="25"/>
        </w:numPr>
        <w:autoSpaceDE w:val="0"/>
        <w:autoSpaceDN w:val="0"/>
        <w:adjustRightInd w:val="0"/>
        <w:jc w:val="both"/>
        <w:rPr>
          <w:sz w:val="24"/>
          <w:szCs w:val="24"/>
          <w:lang w:val="lt-LT"/>
        </w:rPr>
      </w:pPr>
      <w:r w:rsidRPr="00CA28DC">
        <w:rPr>
          <w:b/>
          <w:bCs/>
          <w:sz w:val="24"/>
          <w:szCs w:val="24"/>
          <w:lang w:val="lt-LT"/>
        </w:rPr>
        <w:t>Mokumas</w:t>
      </w:r>
      <w:r w:rsidRPr="00CA28DC">
        <w:rPr>
          <w:sz w:val="24"/>
          <w:szCs w:val="24"/>
          <w:lang w:val="lt-LT"/>
        </w:rPr>
        <w:t xml:space="preserve"> – įmonės galimybės grąžinti skolas nevėluojant pagal sutartus terminus.</w:t>
      </w:r>
    </w:p>
    <w:p w14:paraId="776934AE" w14:textId="0545F989" w:rsidR="00990C62" w:rsidRPr="00CA28DC" w:rsidRDefault="00990C62" w:rsidP="00CA28DC">
      <w:pPr>
        <w:numPr>
          <w:ilvl w:val="0"/>
          <w:numId w:val="25"/>
        </w:numPr>
        <w:autoSpaceDE w:val="0"/>
        <w:autoSpaceDN w:val="0"/>
        <w:adjustRightInd w:val="0"/>
        <w:jc w:val="both"/>
        <w:rPr>
          <w:sz w:val="24"/>
          <w:szCs w:val="24"/>
          <w:lang w:val="lt-LT"/>
        </w:rPr>
      </w:pPr>
      <w:r w:rsidRPr="00CA28DC">
        <w:rPr>
          <w:sz w:val="24"/>
          <w:szCs w:val="24"/>
          <w:u w:val="single"/>
          <w:lang w:val="lt-LT"/>
        </w:rPr>
        <w:t>Skolų ir nuosavo kapitalo santykis (</w:t>
      </w:r>
      <w:r w:rsidRPr="00CA28DC">
        <w:rPr>
          <w:i/>
          <w:iCs/>
          <w:sz w:val="24"/>
          <w:szCs w:val="24"/>
          <w:lang w:val="lt-LT"/>
        </w:rPr>
        <w:t>Visi įsipareigojimai/Nuosavas kapitalas )</w:t>
      </w:r>
    </w:p>
    <w:p w14:paraId="1A16DBD8" w14:textId="77777777" w:rsidR="00990C62" w:rsidRPr="00CA28DC" w:rsidRDefault="00990C62" w:rsidP="002C38D9">
      <w:pPr>
        <w:numPr>
          <w:ilvl w:val="0"/>
          <w:numId w:val="26"/>
        </w:numPr>
        <w:autoSpaceDE w:val="0"/>
        <w:autoSpaceDN w:val="0"/>
        <w:adjustRightInd w:val="0"/>
        <w:jc w:val="both"/>
        <w:rPr>
          <w:sz w:val="24"/>
          <w:szCs w:val="24"/>
          <w:lang w:val="lt-LT"/>
        </w:rPr>
      </w:pPr>
      <w:r w:rsidRPr="00CA28DC">
        <w:rPr>
          <w:sz w:val="24"/>
          <w:szCs w:val="24"/>
          <w:lang w:val="lt-LT"/>
        </w:rPr>
        <w:t xml:space="preserve">Kuo didesnis, tuo didesnė skolinto kapitalo dalis – didesnė mokumo rizika. </w:t>
      </w:r>
    </w:p>
    <w:p w14:paraId="63481B84" w14:textId="77777777" w:rsidR="00CA28DC" w:rsidRPr="00CA28DC" w:rsidRDefault="00990C62" w:rsidP="00CA28DC">
      <w:pPr>
        <w:numPr>
          <w:ilvl w:val="0"/>
          <w:numId w:val="26"/>
        </w:numPr>
        <w:autoSpaceDE w:val="0"/>
        <w:autoSpaceDN w:val="0"/>
        <w:adjustRightInd w:val="0"/>
        <w:jc w:val="both"/>
        <w:rPr>
          <w:sz w:val="24"/>
          <w:szCs w:val="24"/>
          <w:lang w:val="lt-LT"/>
        </w:rPr>
      </w:pPr>
      <w:r w:rsidRPr="00CA28DC">
        <w:rPr>
          <w:sz w:val="24"/>
          <w:szCs w:val="24"/>
          <w:lang w:val="lt-LT"/>
        </w:rPr>
        <w:t xml:space="preserve">Toleruojamas aukštesnis rodiklio lygis žemų palūkanų aplinkoje, žemesnis – kai rinkoje aukštos palūkanos. </w:t>
      </w:r>
    </w:p>
    <w:p w14:paraId="6B66B934" w14:textId="60547D9A" w:rsidR="00990C62" w:rsidRPr="00CA28DC" w:rsidRDefault="00990C62" w:rsidP="00CA28DC">
      <w:pPr>
        <w:numPr>
          <w:ilvl w:val="0"/>
          <w:numId w:val="26"/>
        </w:numPr>
        <w:autoSpaceDE w:val="0"/>
        <w:autoSpaceDN w:val="0"/>
        <w:adjustRightInd w:val="0"/>
        <w:jc w:val="both"/>
        <w:rPr>
          <w:sz w:val="24"/>
          <w:szCs w:val="24"/>
          <w:lang w:val="lt-LT"/>
        </w:rPr>
      </w:pPr>
      <w:r w:rsidRPr="00CA28DC">
        <w:rPr>
          <w:sz w:val="24"/>
          <w:szCs w:val="24"/>
          <w:u w:val="single"/>
          <w:lang w:val="lt-LT"/>
        </w:rPr>
        <w:t>Skolų ir turto santykis (</w:t>
      </w:r>
      <w:r w:rsidRPr="00CA28DC">
        <w:rPr>
          <w:i/>
          <w:iCs/>
          <w:sz w:val="24"/>
          <w:szCs w:val="24"/>
          <w:lang w:val="lt-LT"/>
        </w:rPr>
        <w:t>Visi įsipareigojimai/Visas turtas )</w:t>
      </w:r>
    </w:p>
    <w:p w14:paraId="5EDC0017" w14:textId="77777777" w:rsidR="00990C62" w:rsidRPr="00CA28DC" w:rsidRDefault="00990C62" w:rsidP="002C38D9">
      <w:pPr>
        <w:numPr>
          <w:ilvl w:val="0"/>
          <w:numId w:val="27"/>
        </w:numPr>
        <w:autoSpaceDE w:val="0"/>
        <w:autoSpaceDN w:val="0"/>
        <w:adjustRightInd w:val="0"/>
        <w:jc w:val="both"/>
        <w:rPr>
          <w:sz w:val="24"/>
          <w:szCs w:val="24"/>
          <w:lang w:val="lt-LT"/>
        </w:rPr>
      </w:pPr>
      <w:r w:rsidRPr="00CA28DC">
        <w:rPr>
          <w:sz w:val="24"/>
          <w:szCs w:val="24"/>
          <w:lang w:val="lt-LT"/>
        </w:rPr>
        <w:t xml:space="preserve">Mažam, vidutiniam verslui - koeficiento reikšmei esant žemiau 0,5 būklė yra gera, reikšmei esant virš 0,7 būklė laikoma nepatenkinama. </w:t>
      </w:r>
    </w:p>
    <w:p w14:paraId="38FC6A77"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u w:val="single"/>
          <w:lang w:val="lt-LT"/>
        </w:rPr>
        <w:t>Finansinis svertas (</w:t>
      </w:r>
      <w:r w:rsidRPr="00CA28DC">
        <w:rPr>
          <w:i/>
          <w:iCs/>
          <w:sz w:val="24"/>
          <w:szCs w:val="24"/>
          <w:lang w:val="lt-LT"/>
        </w:rPr>
        <w:t>Turtas/Nuosavas kapitalas )</w:t>
      </w:r>
    </w:p>
    <w:p w14:paraId="329A65F6" w14:textId="58A09B6A" w:rsidR="00990C62" w:rsidRPr="00CA28DC" w:rsidRDefault="00990C62" w:rsidP="002C38D9">
      <w:pPr>
        <w:numPr>
          <w:ilvl w:val="0"/>
          <w:numId w:val="28"/>
        </w:numPr>
        <w:autoSpaceDE w:val="0"/>
        <w:autoSpaceDN w:val="0"/>
        <w:adjustRightInd w:val="0"/>
        <w:jc w:val="both"/>
        <w:rPr>
          <w:sz w:val="24"/>
          <w:szCs w:val="24"/>
          <w:lang w:val="lt-LT"/>
        </w:rPr>
      </w:pPr>
      <w:r w:rsidRPr="00CA28DC">
        <w:rPr>
          <w:sz w:val="24"/>
          <w:szCs w:val="24"/>
          <w:lang w:val="lt-LT"/>
        </w:rPr>
        <w:t xml:space="preserve">Vidutiniškai šis rodiklis svyruoja tarp 1,5 ir 2, tačiau normalios jo reikšmės priklauso nuo sektoriaus ir aplinkybių. Jei šis koeficientas didesnis nei 3, tai jau gali būti aukštos rizikos signalas. </w:t>
      </w:r>
    </w:p>
    <w:p w14:paraId="5F3C9A3D" w14:textId="77777777" w:rsidR="00CA28DC" w:rsidRPr="00CA28DC" w:rsidRDefault="00990C62" w:rsidP="00CA28DC">
      <w:pPr>
        <w:autoSpaceDE w:val="0"/>
        <w:autoSpaceDN w:val="0"/>
        <w:adjustRightInd w:val="0"/>
        <w:ind w:firstLine="720"/>
        <w:rPr>
          <w:b/>
          <w:bCs/>
          <w:sz w:val="24"/>
          <w:szCs w:val="24"/>
          <w:lang w:val="lt-LT"/>
        </w:rPr>
      </w:pPr>
      <w:r w:rsidRPr="00CA28DC">
        <w:rPr>
          <w:b/>
          <w:bCs/>
          <w:sz w:val="24"/>
          <w:szCs w:val="24"/>
          <w:lang w:val="lt-LT"/>
        </w:rPr>
        <w:t>Veiklos efektyvumo rodikliai</w:t>
      </w:r>
    </w:p>
    <w:p w14:paraId="6E0A8297" w14:textId="32F5ED87" w:rsidR="00990C62" w:rsidRPr="00CA28DC" w:rsidRDefault="00990C62" w:rsidP="00CA28DC">
      <w:pPr>
        <w:autoSpaceDE w:val="0"/>
        <w:autoSpaceDN w:val="0"/>
        <w:adjustRightInd w:val="0"/>
        <w:ind w:firstLine="720"/>
        <w:rPr>
          <w:b/>
          <w:bCs/>
          <w:sz w:val="24"/>
          <w:szCs w:val="24"/>
          <w:lang w:val="lt-LT"/>
        </w:rPr>
      </w:pPr>
      <w:r w:rsidRPr="00126F37">
        <w:rPr>
          <w:sz w:val="24"/>
          <w:szCs w:val="24"/>
          <w:u w:val="single"/>
          <w:lang w:val="lt-LT"/>
        </w:rPr>
        <w:t>Gautinų sumų apyvartumas (</w:t>
      </w:r>
      <w:r w:rsidRPr="00126F37">
        <w:rPr>
          <w:i/>
          <w:iCs/>
          <w:sz w:val="24"/>
          <w:szCs w:val="24"/>
          <w:lang w:val="lt-LT"/>
        </w:rPr>
        <w:t>Pardavimų pajamos/gautinos sumos (vidutinės</w:t>
      </w:r>
      <w:r w:rsidRPr="00126F37">
        <w:rPr>
          <w:sz w:val="24"/>
          <w:szCs w:val="24"/>
          <w:lang w:val="lt-LT"/>
        </w:rPr>
        <w:t xml:space="preserve">) </w:t>
      </w:r>
    </w:p>
    <w:p w14:paraId="53F17B85" w14:textId="77777777" w:rsidR="00CA28DC" w:rsidRPr="00CA28DC" w:rsidRDefault="00CA28DC" w:rsidP="00CA28DC">
      <w:pPr>
        <w:pStyle w:val="Betarp"/>
        <w:jc w:val="both"/>
        <w:rPr>
          <w:rFonts w:ascii="Times New Roman" w:hAnsi="Times New Roman"/>
          <w:sz w:val="24"/>
          <w:szCs w:val="24"/>
        </w:rPr>
      </w:pPr>
      <w:r w:rsidRPr="00CA28DC">
        <w:rPr>
          <w:rFonts w:ascii="Times New Roman" w:hAnsi="Times New Roman"/>
          <w:sz w:val="24"/>
          <w:szCs w:val="24"/>
        </w:rPr>
        <w:tab/>
      </w:r>
      <w:r w:rsidR="00990C62" w:rsidRPr="00CA28DC">
        <w:rPr>
          <w:rFonts w:ascii="Times New Roman" w:hAnsi="Times New Roman"/>
          <w:sz w:val="24"/>
          <w:szCs w:val="24"/>
        </w:rPr>
        <w:t>Gautinų sumų apyvartumas rodo, kiek iš pirkėjų gautinos sumos padaro apyvartų per metus. Be to, jis apibūdina pirkėjų skolų surinkimo efektyvumą. Didesnė rodiklio reikšmė rodo, jog klientai greičiau atsiskaito su įmone už gautas prekes ir paslaugas ir reiškia aukštesnį įmonės veiklos efektyvumą.</w:t>
      </w:r>
    </w:p>
    <w:p w14:paraId="651857AD" w14:textId="4B2AB326" w:rsidR="00990C62" w:rsidRPr="00CA28DC" w:rsidRDefault="00CA28DC" w:rsidP="00CA28DC">
      <w:pPr>
        <w:pStyle w:val="Betarp"/>
        <w:jc w:val="both"/>
        <w:rPr>
          <w:rFonts w:ascii="Times New Roman" w:hAnsi="Times New Roman"/>
          <w:sz w:val="24"/>
          <w:szCs w:val="24"/>
        </w:rPr>
      </w:pPr>
      <w:r w:rsidRPr="00CA28DC">
        <w:rPr>
          <w:rFonts w:ascii="Times New Roman" w:hAnsi="Times New Roman"/>
          <w:sz w:val="24"/>
          <w:szCs w:val="24"/>
        </w:rPr>
        <w:tab/>
      </w:r>
      <w:r w:rsidR="00990C62" w:rsidRPr="00CA28DC">
        <w:rPr>
          <w:rFonts w:ascii="Times New Roman" w:hAnsi="Times New Roman"/>
          <w:sz w:val="24"/>
          <w:szCs w:val="24"/>
          <w:u w:val="single"/>
        </w:rPr>
        <w:t>Vidutinis atsiskaitymo periodas (</w:t>
      </w:r>
      <w:r w:rsidR="00990C62" w:rsidRPr="00CA28DC">
        <w:rPr>
          <w:rFonts w:ascii="Times New Roman" w:hAnsi="Times New Roman"/>
          <w:i/>
          <w:iCs/>
          <w:sz w:val="24"/>
          <w:szCs w:val="24"/>
        </w:rPr>
        <w:t>365/gautinų sumų apyvartumas )</w:t>
      </w:r>
    </w:p>
    <w:p w14:paraId="71E8802E"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lang w:val="lt-LT"/>
        </w:rPr>
        <w:lastRenderedPageBreak/>
        <w:t xml:space="preserve">Išvestinis rodiklis, parodo kiek vidutiniškai dienų užtrunka surinkti lėšas iš pirkėjų. </w:t>
      </w:r>
    </w:p>
    <w:p w14:paraId="7F8A59F8"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u w:val="single"/>
          <w:lang w:val="lt-LT"/>
        </w:rPr>
        <w:t>Atsargų apyvartumas (</w:t>
      </w:r>
      <w:r w:rsidRPr="00CA28DC">
        <w:rPr>
          <w:i/>
          <w:iCs/>
          <w:sz w:val="24"/>
          <w:szCs w:val="24"/>
          <w:lang w:val="lt-LT"/>
        </w:rPr>
        <w:t xml:space="preserve">Pardavimų savikaina/atsargos (vidutinės) </w:t>
      </w:r>
    </w:p>
    <w:p w14:paraId="79AA89A2"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lang w:val="lt-LT"/>
        </w:rPr>
        <w:t>Kuo didesnis rodiklis, tuo daugiau kartų per laikotarpį visiškai pasikeičia atsargos, tuo trumpesnė atsargų lai</w:t>
      </w:r>
      <w:r w:rsidRPr="00CA28DC">
        <w:rPr>
          <w:sz w:val="24"/>
          <w:szCs w:val="24"/>
          <w:lang w:val="lt-LT"/>
        </w:rPr>
        <w:softHyphen/>
        <w:t xml:space="preserve">kymo trukmė. Kuo didesnis apyvartumas, tuo greičiau atsargos juda, tuo greičiau jos realizuojamos ir uždirbami pinigai. </w:t>
      </w:r>
    </w:p>
    <w:p w14:paraId="1E6F0683"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u w:val="single"/>
          <w:lang w:val="lt-LT"/>
        </w:rPr>
        <w:t>Vidutinis atsargų pardavimo periodas (</w:t>
      </w:r>
      <w:r w:rsidRPr="00CA28DC">
        <w:rPr>
          <w:i/>
          <w:iCs/>
          <w:sz w:val="24"/>
          <w:szCs w:val="24"/>
          <w:lang w:val="lt-LT"/>
        </w:rPr>
        <w:t>365/atsargų apyvartumas )</w:t>
      </w:r>
    </w:p>
    <w:p w14:paraId="24599068"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lang w:val="lt-LT"/>
        </w:rPr>
        <w:t>Parodo kiek vidutiniškai dienų užtrunka parduoti visas atsargas. Kuo mažesnis rodiklis, tuo efektyvesnė ga</w:t>
      </w:r>
      <w:r w:rsidRPr="00CA28DC">
        <w:rPr>
          <w:sz w:val="24"/>
          <w:szCs w:val="24"/>
          <w:lang w:val="lt-LT"/>
        </w:rPr>
        <w:softHyphen/>
        <w:t xml:space="preserve">myba, pigesnis saugojimas. </w:t>
      </w:r>
    </w:p>
    <w:p w14:paraId="1B059DD5"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u w:val="single"/>
          <w:lang w:val="lt-LT"/>
        </w:rPr>
        <w:t>Turto apyvartumas (</w:t>
      </w:r>
      <w:r w:rsidRPr="00CA28DC">
        <w:rPr>
          <w:i/>
          <w:iCs/>
          <w:sz w:val="24"/>
          <w:szCs w:val="24"/>
          <w:lang w:val="lt-LT"/>
        </w:rPr>
        <w:t>Pardavimų pajamos/vidutinė turto vertė periodo metu )</w:t>
      </w:r>
    </w:p>
    <w:p w14:paraId="4184A2C2"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lang w:val="lt-LT"/>
        </w:rPr>
        <w:t xml:space="preserve">Turto apyvartumas rodo kaip efektyviai pajamų sukūrimui panaudojamas bendrovės turtas. </w:t>
      </w:r>
    </w:p>
    <w:p w14:paraId="1864D707"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lang w:val="lt-LT"/>
        </w:rPr>
        <w:t xml:space="preserve">Aktualiausias gamybos, prekybos verslams – kur reikalingos didelės investicijas į turtą ir jis generuoja pajamas. Ne tiek aktualus paslaugų teikimo įmonėms. </w:t>
      </w:r>
    </w:p>
    <w:p w14:paraId="6F99E641" w14:textId="77777777"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u w:val="single"/>
          <w:lang w:val="lt-LT"/>
        </w:rPr>
        <w:t>Ilgalaikio turto apyvartumas (</w:t>
      </w:r>
      <w:r w:rsidRPr="00CA28DC">
        <w:rPr>
          <w:i/>
          <w:iCs/>
          <w:sz w:val="24"/>
          <w:szCs w:val="24"/>
          <w:lang w:val="lt-LT"/>
        </w:rPr>
        <w:t>Pardavimų pajamos/vidutinė ilgalaikio turto vertė periodo metu )</w:t>
      </w:r>
    </w:p>
    <w:p w14:paraId="67206930" w14:textId="2E493E14" w:rsidR="00990C62" w:rsidRPr="00CA28DC" w:rsidRDefault="00990C62" w:rsidP="002C38D9">
      <w:pPr>
        <w:autoSpaceDE w:val="0"/>
        <w:autoSpaceDN w:val="0"/>
        <w:adjustRightInd w:val="0"/>
        <w:spacing w:line="221" w:lineRule="atLeast"/>
        <w:ind w:firstLine="280"/>
        <w:jc w:val="both"/>
        <w:rPr>
          <w:sz w:val="24"/>
          <w:szCs w:val="24"/>
          <w:lang w:val="lt-LT"/>
        </w:rPr>
      </w:pPr>
      <w:r w:rsidRPr="00CA28DC">
        <w:rPr>
          <w:sz w:val="24"/>
          <w:szCs w:val="24"/>
          <w:lang w:val="lt-LT"/>
        </w:rPr>
        <w:t xml:space="preserve">Rodo kaip efektyviai yra panaudojamas bendrovės ilgalaikis turtas siekiant sukurti pajamas. Kuo jis didesnis, tuo bendrovė efektyviau išnaudoja savo ilgalaikį turtą. </w:t>
      </w:r>
    </w:p>
    <w:p w14:paraId="61703200" w14:textId="77777777" w:rsidR="00990C62" w:rsidRPr="00CA28DC" w:rsidRDefault="00990C62" w:rsidP="002C38D9">
      <w:pPr>
        <w:pStyle w:val="Betarp"/>
        <w:jc w:val="both"/>
        <w:rPr>
          <w:rFonts w:ascii="Times New Roman" w:hAnsi="Times New Roman"/>
          <w:sz w:val="24"/>
          <w:szCs w:val="24"/>
        </w:rPr>
      </w:pPr>
    </w:p>
    <w:bookmarkEnd w:id="0"/>
    <w:p w14:paraId="0059481A" w14:textId="77777777" w:rsidR="00CA28DC" w:rsidRDefault="00990C62" w:rsidP="002C38D9">
      <w:pPr>
        <w:pStyle w:val="Betarp"/>
        <w:ind w:firstLine="280"/>
        <w:jc w:val="both"/>
        <w:rPr>
          <w:rFonts w:ascii="Times New Roman" w:hAnsi="Times New Roman"/>
          <w:sz w:val="24"/>
          <w:szCs w:val="24"/>
        </w:rPr>
      </w:pPr>
      <w:r w:rsidRPr="00CA28DC">
        <w:rPr>
          <w:rFonts w:ascii="Times New Roman" w:hAnsi="Times New Roman"/>
          <w:sz w:val="24"/>
          <w:szCs w:val="24"/>
        </w:rPr>
        <w:t xml:space="preserve">2020 metais pradėjome eksploatuoti 21 gyvenamą namą </w:t>
      </w:r>
      <w:proofErr w:type="spellStart"/>
      <w:r w:rsidRPr="00CA28DC">
        <w:rPr>
          <w:rFonts w:ascii="Times New Roman" w:hAnsi="Times New Roman"/>
          <w:sz w:val="24"/>
          <w:szCs w:val="24"/>
        </w:rPr>
        <w:t>Juodupėje</w:t>
      </w:r>
      <w:proofErr w:type="spellEnd"/>
      <w:r w:rsidRPr="00CA28DC">
        <w:rPr>
          <w:rFonts w:ascii="Times New Roman" w:hAnsi="Times New Roman"/>
          <w:sz w:val="24"/>
          <w:szCs w:val="24"/>
        </w:rPr>
        <w:t>. Atsižvelgdami į Juodupės miestelio gyventojų pageidavimus</w:t>
      </w:r>
      <w:r w:rsidR="00CA28DC">
        <w:rPr>
          <w:rFonts w:ascii="Times New Roman" w:hAnsi="Times New Roman"/>
          <w:sz w:val="24"/>
          <w:szCs w:val="24"/>
        </w:rPr>
        <w:t>,</w:t>
      </w:r>
      <w:r w:rsidRPr="00CA28DC">
        <w:rPr>
          <w:rFonts w:ascii="Times New Roman" w:hAnsi="Times New Roman"/>
          <w:sz w:val="24"/>
          <w:szCs w:val="24"/>
        </w:rPr>
        <w:t xml:space="preserve"> įrengėme mokesčių kasą. </w:t>
      </w:r>
      <w:proofErr w:type="spellStart"/>
      <w:r w:rsidRPr="00CA28DC">
        <w:rPr>
          <w:rFonts w:ascii="Times New Roman" w:hAnsi="Times New Roman"/>
          <w:sz w:val="24"/>
          <w:szCs w:val="24"/>
        </w:rPr>
        <w:t>Juodupėje</w:t>
      </w:r>
      <w:proofErr w:type="spellEnd"/>
      <w:r w:rsidRPr="00CA28DC">
        <w:rPr>
          <w:rFonts w:ascii="Times New Roman" w:hAnsi="Times New Roman"/>
          <w:sz w:val="24"/>
          <w:szCs w:val="24"/>
        </w:rPr>
        <w:t xml:space="preserve"> </w:t>
      </w:r>
      <w:r w:rsidR="00CA28DC">
        <w:rPr>
          <w:rFonts w:ascii="Times New Roman" w:hAnsi="Times New Roman"/>
          <w:sz w:val="24"/>
          <w:szCs w:val="24"/>
        </w:rPr>
        <w:t>gyvenamiesiems namams aptarnauti</w:t>
      </w:r>
      <w:r w:rsidRPr="00CA28DC">
        <w:rPr>
          <w:rFonts w:ascii="Times New Roman" w:hAnsi="Times New Roman"/>
          <w:sz w:val="24"/>
          <w:szCs w:val="24"/>
        </w:rPr>
        <w:t xml:space="preserve"> įkūrėme vieno santechnik</w:t>
      </w:r>
      <w:r w:rsidR="00CA28DC">
        <w:rPr>
          <w:rFonts w:ascii="Times New Roman" w:hAnsi="Times New Roman"/>
          <w:sz w:val="24"/>
          <w:szCs w:val="24"/>
        </w:rPr>
        <w:t>o ir 0,5 elektriko darbo vietas.</w:t>
      </w:r>
    </w:p>
    <w:p w14:paraId="4DFBF180" w14:textId="61B3BB3D" w:rsidR="00CA28DC" w:rsidRDefault="00990C62" w:rsidP="002C38D9">
      <w:pPr>
        <w:pStyle w:val="Betarp"/>
        <w:ind w:firstLine="280"/>
        <w:jc w:val="both"/>
        <w:rPr>
          <w:rFonts w:ascii="Times New Roman" w:hAnsi="Times New Roman"/>
          <w:sz w:val="24"/>
          <w:szCs w:val="24"/>
        </w:rPr>
      </w:pPr>
      <w:r w:rsidRPr="00CA28DC">
        <w:rPr>
          <w:rFonts w:ascii="Times New Roman" w:hAnsi="Times New Roman"/>
          <w:sz w:val="24"/>
          <w:szCs w:val="24"/>
        </w:rPr>
        <w:t>Įsibėgėja gyvenamųjų namų atnaujinimo (modernizavimo) darbai. 2020 metais užbaigta gyvenamųjų namų Algirdo g. 6, Kauno g. 5, Taikos g. 13 renovacija. Šiuo metu jau yra užbaigti Vilties g. 12 ,Vilties g. 26 renovacijos darbai ,toliau yra vykdomi gyv</w:t>
      </w:r>
      <w:r w:rsidR="00CA28DC">
        <w:rPr>
          <w:rFonts w:ascii="Times New Roman" w:hAnsi="Times New Roman"/>
          <w:sz w:val="24"/>
          <w:szCs w:val="24"/>
        </w:rPr>
        <w:t>enamųjų</w:t>
      </w:r>
      <w:r w:rsidRPr="00CA28DC">
        <w:rPr>
          <w:rFonts w:ascii="Times New Roman" w:hAnsi="Times New Roman"/>
          <w:sz w:val="24"/>
          <w:szCs w:val="24"/>
        </w:rPr>
        <w:t xml:space="preserve"> namų  Vilties g. 28, Panevėžio g.14 renovacijos darbai, kurie planuojami baigti 2021 m.  Rengiami techniniai projektai gyvenamiesiems namams Laisvės g. 5</w:t>
      </w:r>
      <w:r w:rsidR="00CA28DC">
        <w:rPr>
          <w:rFonts w:ascii="Times New Roman" w:hAnsi="Times New Roman"/>
          <w:sz w:val="24"/>
          <w:szCs w:val="24"/>
        </w:rPr>
        <w:t>A</w:t>
      </w:r>
      <w:r w:rsidRPr="00CA28DC">
        <w:rPr>
          <w:rFonts w:ascii="Times New Roman" w:hAnsi="Times New Roman"/>
          <w:sz w:val="24"/>
          <w:szCs w:val="24"/>
        </w:rPr>
        <w:t>, Laisvės g. 5</w:t>
      </w:r>
      <w:r w:rsidR="00CA28DC">
        <w:rPr>
          <w:rFonts w:ascii="Times New Roman" w:hAnsi="Times New Roman"/>
          <w:sz w:val="24"/>
          <w:szCs w:val="24"/>
        </w:rPr>
        <w:t>B</w:t>
      </w:r>
      <w:r w:rsidRPr="00CA28DC">
        <w:rPr>
          <w:rFonts w:ascii="Times New Roman" w:hAnsi="Times New Roman"/>
          <w:sz w:val="24"/>
          <w:szCs w:val="24"/>
        </w:rPr>
        <w:t>,  Vilties g. 14 ir Vilniaus g. 12A. Parengti investiciniai planai dviejų namų (Dirbtuvių g. 2, Obeliuose</w:t>
      </w:r>
      <w:r w:rsidR="00B90D1A">
        <w:rPr>
          <w:rFonts w:ascii="Times New Roman" w:hAnsi="Times New Roman"/>
          <w:sz w:val="24"/>
          <w:szCs w:val="24"/>
        </w:rPr>
        <w:t>,</w:t>
      </w:r>
      <w:r w:rsidRPr="00CA28DC">
        <w:rPr>
          <w:rFonts w:ascii="Times New Roman" w:hAnsi="Times New Roman"/>
          <w:sz w:val="24"/>
          <w:szCs w:val="24"/>
        </w:rPr>
        <w:t xml:space="preserve"> ir Širvio g. 5, Rokiškyje), tačiau dėl šalyje paskelbto karantino negalime kviesti gyventojų į susirinkimus plan</w:t>
      </w:r>
      <w:r w:rsidR="00CA28DC">
        <w:rPr>
          <w:rFonts w:ascii="Times New Roman" w:hAnsi="Times New Roman"/>
          <w:sz w:val="24"/>
          <w:szCs w:val="24"/>
        </w:rPr>
        <w:t>ams aptarti.</w:t>
      </w:r>
      <w:r w:rsidRPr="00CA28DC">
        <w:rPr>
          <w:rFonts w:ascii="Times New Roman" w:hAnsi="Times New Roman"/>
          <w:sz w:val="24"/>
          <w:szCs w:val="24"/>
        </w:rPr>
        <w:t xml:space="preserve">.  </w:t>
      </w:r>
    </w:p>
    <w:p w14:paraId="4D75D9A6" w14:textId="2E52125B" w:rsidR="00990C62" w:rsidRPr="00CA28DC" w:rsidRDefault="00990C62" w:rsidP="002C38D9">
      <w:pPr>
        <w:pStyle w:val="Betarp"/>
        <w:ind w:firstLine="280"/>
        <w:jc w:val="both"/>
        <w:rPr>
          <w:rFonts w:ascii="Times New Roman" w:hAnsi="Times New Roman"/>
          <w:sz w:val="24"/>
          <w:szCs w:val="24"/>
        </w:rPr>
      </w:pPr>
      <w:r w:rsidRPr="00CA28DC">
        <w:rPr>
          <w:rFonts w:ascii="Times New Roman" w:hAnsi="Times New Roman"/>
          <w:sz w:val="24"/>
          <w:szCs w:val="24"/>
        </w:rPr>
        <w:t>Problema su rangovais, ypač mažos kvadratūros namams. Pirkimus vykdome po keletą kartų, tačiau rangovų nerandame. Kovo mėnesį nupirkome Vilniaus g. 6, Rokiškyje</w:t>
      </w:r>
      <w:r w:rsidR="00CA28DC">
        <w:rPr>
          <w:rFonts w:ascii="Times New Roman" w:hAnsi="Times New Roman"/>
          <w:sz w:val="24"/>
          <w:szCs w:val="24"/>
        </w:rPr>
        <w:t>,</w:t>
      </w:r>
      <w:r w:rsidRPr="00CA28DC">
        <w:rPr>
          <w:rFonts w:ascii="Times New Roman" w:hAnsi="Times New Roman"/>
          <w:sz w:val="24"/>
          <w:szCs w:val="24"/>
        </w:rPr>
        <w:t xml:space="preserve"> gyvenamojo namo projektavimo ir rangos darbus. Šiuo metu yra paskelbti pirkimai rangos darbams Respublikos g.</w:t>
      </w:r>
      <w:r w:rsidR="00CA28DC">
        <w:rPr>
          <w:rFonts w:ascii="Times New Roman" w:hAnsi="Times New Roman"/>
          <w:sz w:val="24"/>
          <w:szCs w:val="24"/>
        </w:rPr>
        <w:t xml:space="preserve"> </w:t>
      </w:r>
      <w:r w:rsidRPr="00CA28DC">
        <w:rPr>
          <w:rFonts w:ascii="Times New Roman" w:hAnsi="Times New Roman"/>
          <w:sz w:val="24"/>
          <w:szCs w:val="24"/>
        </w:rPr>
        <w:t>20, Vilties g. 30</w:t>
      </w:r>
      <w:r w:rsidR="00CA28DC">
        <w:rPr>
          <w:rFonts w:ascii="Times New Roman" w:hAnsi="Times New Roman"/>
          <w:sz w:val="24"/>
          <w:szCs w:val="24"/>
        </w:rPr>
        <w:t>,</w:t>
      </w:r>
      <w:r w:rsidRPr="00CA28DC">
        <w:rPr>
          <w:rFonts w:ascii="Times New Roman" w:hAnsi="Times New Roman"/>
          <w:sz w:val="24"/>
          <w:szCs w:val="24"/>
        </w:rPr>
        <w:t xml:space="preserve"> Rokiškyje</w:t>
      </w:r>
      <w:r w:rsidR="00CA28DC">
        <w:rPr>
          <w:rFonts w:ascii="Times New Roman" w:hAnsi="Times New Roman"/>
          <w:sz w:val="24"/>
          <w:szCs w:val="24"/>
        </w:rPr>
        <w:t>,</w:t>
      </w:r>
      <w:r w:rsidRPr="00CA28DC">
        <w:rPr>
          <w:rFonts w:ascii="Times New Roman" w:hAnsi="Times New Roman"/>
          <w:sz w:val="24"/>
          <w:szCs w:val="24"/>
        </w:rPr>
        <w:t xml:space="preserve"> ir Dirbtuvių 9, Obeliuose.</w:t>
      </w:r>
    </w:p>
    <w:p w14:paraId="4E21AD74" w14:textId="77777777" w:rsidR="00990C62" w:rsidRPr="00CA28DC" w:rsidRDefault="00990C62" w:rsidP="00F93627">
      <w:pPr>
        <w:pStyle w:val="Betarp"/>
        <w:rPr>
          <w:rFonts w:ascii="Times New Roman" w:hAnsi="Times New Roman"/>
          <w:b/>
          <w:sz w:val="24"/>
          <w:szCs w:val="24"/>
        </w:rPr>
      </w:pPr>
    </w:p>
    <w:p w14:paraId="7D081C9E" w14:textId="77777777" w:rsidR="00990C62" w:rsidRPr="00CA28DC" w:rsidRDefault="00990C62" w:rsidP="00990C62">
      <w:pPr>
        <w:pStyle w:val="Betarp"/>
        <w:jc w:val="center"/>
        <w:rPr>
          <w:rFonts w:ascii="Times New Roman" w:hAnsi="Times New Roman"/>
          <w:b/>
          <w:sz w:val="24"/>
          <w:szCs w:val="24"/>
        </w:rPr>
      </w:pPr>
      <w:r w:rsidRPr="00CA28DC">
        <w:rPr>
          <w:rFonts w:ascii="Times New Roman" w:hAnsi="Times New Roman"/>
          <w:b/>
          <w:sz w:val="24"/>
          <w:szCs w:val="24"/>
        </w:rPr>
        <w:t>V. VEIKLOS PLANAI IR PROGNOZĖS</w:t>
      </w:r>
    </w:p>
    <w:p w14:paraId="76FD85CB" w14:textId="77777777" w:rsidR="00990C62" w:rsidRPr="00CA28DC" w:rsidRDefault="00990C62" w:rsidP="00F93627">
      <w:pPr>
        <w:pStyle w:val="Betarp"/>
        <w:rPr>
          <w:rFonts w:ascii="Times New Roman" w:hAnsi="Times New Roman"/>
          <w:b/>
          <w:sz w:val="24"/>
          <w:szCs w:val="24"/>
        </w:rPr>
      </w:pPr>
    </w:p>
    <w:p w14:paraId="7702B12E" w14:textId="6BB3B647" w:rsidR="00990C62" w:rsidRPr="00CA28DC" w:rsidRDefault="00CA28DC" w:rsidP="002C38D9">
      <w:pPr>
        <w:jc w:val="both"/>
        <w:rPr>
          <w:sz w:val="24"/>
          <w:szCs w:val="24"/>
          <w:lang w:val="lt-LT"/>
        </w:rPr>
      </w:pPr>
      <w:r>
        <w:rPr>
          <w:sz w:val="24"/>
          <w:szCs w:val="24"/>
          <w:lang w:val="lt-LT"/>
        </w:rPr>
        <w:tab/>
      </w:r>
      <w:r w:rsidR="00990C62" w:rsidRPr="00CA28DC">
        <w:rPr>
          <w:sz w:val="24"/>
          <w:szCs w:val="24"/>
          <w:lang w:val="lt-LT"/>
        </w:rPr>
        <w:t>Rokiškio rajono savivaldybės taryba 2017 m. sausio 27 d. priėmė sprendimą reorganizuoti AB „Rokiškio komunalininkas“, prijungiant akcinę bendrovę Rokiškio butų ūkis. Stabiliam ir perspektyviam bendrovės darbui trukdo neišspręstas reorganizavimo klausimas, ypač tai aktualu teikiant paraiškas bankams dėl paskolų gavimo gyvenamųjų namų renovacijai. Kol bus užbaigtos reorganizavimo procedūros, veikla bus vykdoma pagal bendrovės valdybos patvirtintą 2019</w:t>
      </w:r>
      <w:r w:rsidRPr="00987532">
        <w:rPr>
          <w:sz w:val="24"/>
          <w:szCs w:val="24"/>
          <w:lang w:val="lt-LT"/>
        </w:rPr>
        <w:t>–</w:t>
      </w:r>
      <w:r w:rsidR="00990C62" w:rsidRPr="00CA28DC">
        <w:rPr>
          <w:sz w:val="24"/>
          <w:szCs w:val="24"/>
          <w:lang w:val="lt-LT"/>
        </w:rPr>
        <w:t>2023 m. veiklos strategiją.</w:t>
      </w:r>
    </w:p>
    <w:p w14:paraId="3D543C67" w14:textId="53ECBF71" w:rsidR="00990C62" w:rsidRPr="00CA28DC" w:rsidRDefault="00CA28DC" w:rsidP="002C38D9">
      <w:pPr>
        <w:jc w:val="both"/>
        <w:rPr>
          <w:sz w:val="24"/>
          <w:szCs w:val="24"/>
          <w:lang w:val="lt-LT"/>
        </w:rPr>
      </w:pPr>
      <w:r>
        <w:rPr>
          <w:sz w:val="24"/>
          <w:szCs w:val="24"/>
          <w:lang w:val="lt-LT"/>
        </w:rPr>
        <w:tab/>
      </w:r>
      <w:r w:rsidR="00990C62" w:rsidRPr="00CA28DC">
        <w:rPr>
          <w:sz w:val="24"/>
          <w:szCs w:val="24"/>
          <w:lang w:val="lt-LT"/>
        </w:rPr>
        <w:t>2020 m. kovo  Rokiškio rajono savivaldybės administracijos direktoriaus įsakymais bendrovė paskirta 313 daugiabučių namų administratoriumi vis</w:t>
      </w:r>
      <w:r>
        <w:rPr>
          <w:sz w:val="24"/>
          <w:szCs w:val="24"/>
          <w:lang w:val="lt-LT"/>
        </w:rPr>
        <w:t xml:space="preserve">ame rajone. </w:t>
      </w:r>
      <w:r w:rsidR="00990C62" w:rsidRPr="00CA28DC">
        <w:rPr>
          <w:sz w:val="24"/>
          <w:szCs w:val="24"/>
          <w:lang w:val="lt-LT"/>
        </w:rPr>
        <w:t xml:space="preserve">Dalis šių namų yra negyvenami, nepilnai sutvarkytos butų nuosavybės arba jie yra apleisti, griūvantys. Paskelbus šalyje karantiną, negalime organizuoti susirinkimų su butų savininkais. Todėl dalyje namų apklausa ir bendravimas vyksta vykdant balsavimu raštu. Tokių namų administravimas yra labai sudėtingas, o vykdomų darbų sąnaudos didins bendrovės nuostolius.  </w:t>
      </w:r>
    </w:p>
    <w:p w14:paraId="639E1DA6" w14:textId="77777777" w:rsidR="00990C62" w:rsidRPr="00CA28DC" w:rsidRDefault="00990C62" w:rsidP="00990C62">
      <w:pPr>
        <w:ind w:firstLine="720"/>
        <w:jc w:val="both"/>
        <w:rPr>
          <w:sz w:val="24"/>
          <w:szCs w:val="24"/>
          <w:lang w:val="lt-LT"/>
        </w:rPr>
      </w:pPr>
    </w:p>
    <w:p w14:paraId="43E4482A" w14:textId="77777777" w:rsidR="00990C62" w:rsidRPr="00CA28DC" w:rsidRDefault="00990C62" w:rsidP="00990C62">
      <w:pPr>
        <w:ind w:firstLine="720"/>
        <w:jc w:val="both"/>
        <w:rPr>
          <w:sz w:val="24"/>
          <w:szCs w:val="24"/>
          <w:lang w:val="lt-LT"/>
        </w:rPr>
      </w:pPr>
    </w:p>
    <w:p w14:paraId="27B14B73" w14:textId="48DBC94E" w:rsidR="00990C62" w:rsidRPr="00CA28DC" w:rsidRDefault="00641C83" w:rsidP="00990C62">
      <w:pPr>
        <w:pStyle w:val="Betarp"/>
        <w:jc w:val="both"/>
        <w:rPr>
          <w:rFonts w:ascii="Times New Roman" w:hAnsi="Times New Roman"/>
          <w:sz w:val="24"/>
          <w:szCs w:val="24"/>
        </w:rPr>
      </w:pPr>
      <w:r w:rsidRPr="00CA28DC">
        <w:rPr>
          <w:rFonts w:ascii="Times New Roman" w:hAnsi="Times New Roman"/>
          <w:sz w:val="24"/>
          <w:szCs w:val="24"/>
        </w:rPr>
        <w:t>Laikinai einantis b</w:t>
      </w:r>
      <w:r w:rsidR="00990C62" w:rsidRPr="00CA28DC">
        <w:rPr>
          <w:rFonts w:ascii="Times New Roman" w:hAnsi="Times New Roman"/>
          <w:sz w:val="24"/>
          <w:szCs w:val="24"/>
        </w:rPr>
        <w:t>endrovės direktori</w:t>
      </w:r>
      <w:r w:rsidRPr="00CA28DC">
        <w:rPr>
          <w:rFonts w:ascii="Times New Roman" w:hAnsi="Times New Roman"/>
          <w:sz w:val="24"/>
          <w:szCs w:val="24"/>
        </w:rPr>
        <w:t>aus pareigas</w:t>
      </w:r>
      <w:r w:rsidRPr="00CA28DC">
        <w:rPr>
          <w:rFonts w:ascii="Times New Roman" w:hAnsi="Times New Roman"/>
          <w:sz w:val="24"/>
          <w:szCs w:val="24"/>
        </w:rPr>
        <w:tab/>
      </w:r>
      <w:r w:rsidRPr="00CA28DC">
        <w:rPr>
          <w:rFonts w:ascii="Times New Roman" w:hAnsi="Times New Roman"/>
          <w:sz w:val="24"/>
          <w:szCs w:val="24"/>
        </w:rPr>
        <w:tab/>
      </w:r>
      <w:r w:rsidRPr="00CA28DC">
        <w:rPr>
          <w:rFonts w:ascii="Times New Roman" w:hAnsi="Times New Roman"/>
          <w:sz w:val="24"/>
          <w:szCs w:val="24"/>
        </w:rPr>
        <w:tab/>
      </w:r>
      <w:r w:rsidRPr="00CA28DC">
        <w:rPr>
          <w:rFonts w:ascii="Times New Roman" w:hAnsi="Times New Roman"/>
          <w:sz w:val="24"/>
          <w:szCs w:val="24"/>
        </w:rPr>
        <w:tab/>
        <w:t>Vladas Janulis</w:t>
      </w:r>
    </w:p>
    <w:p w14:paraId="09A2B755" w14:textId="77777777" w:rsidR="00F93627" w:rsidRPr="00CA28DC" w:rsidRDefault="00F93627" w:rsidP="00F93627">
      <w:pPr>
        <w:jc w:val="center"/>
        <w:rPr>
          <w:rFonts w:eastAsia="Calibri"/>
          <w:sz w:val="22"/>
          <w:szCs w:val="22"/>
          <w:lang w:val="lt-LT" w:eastAsia="en-US"/>
        </w:rPr>
      </w:pPr>
      <w:r w:rsidRPr="00126F37">
        <w:rPr>
          <w:sz w:val="24"/>
          <w:szCs w:val="24"/>
          <w:lang w:val="lt-LT"/>
        </w:rPr>
        <w:t>____________________________________</w:t>
      </w:r>
    </w:p>
    <w:p w14:paraId="6C41CD4A" w14:textId="336D7809" w:rsidR="00F93627" w:rsidRDefault="00F93627" w:rsidP="00F93627">
      <w:pPr>
        <w:pStyle w:val="Betarp"/>
        <w:jc w:val="center"/>
        <w:rPr>
          <w:rFonts w:ascii="Times New Roman" w:hAnsi="Times New Roman"/>
          <w:sz w:val="24"/>
          <w:szCs w:val="24"/>
        </w:rPr>
      </w:pPr>
    </w:p>
    <w:p w14:paraId="3C792DEA" w14:textId="77777777" w:rsidR="00CA28DC" w:rsidRDefault="00CA28DC" w:rsidP="00F93627">
      <w:pPr>
        <w:pStyle w:val="Betarp"/>
        <w:jc w:val="center"/>
        <w:rPr>
          <w:rFonts w:ascii="Times New Roman" w:hAnsi="Times New Roman"/>
          <w:sz w:val="24"/>
          <w:szCs w:val="24"/>
        </w:rPr>
      </w:pPr>
    </w:p>
    <w:p w14:paraId="0FE33803" w14:textId="77777777" w:rsidR="00CA28DC" w:rsidRPr="00CA28DC" w:rsidRDefault="00CA28DC" w:rsidP="00F93627">
      <w:pPr>
        <w:pStyle w:val="Betarp"/>
        <w:jc w:val="center"/>
        <w:rPr>
          <w:rFonts w:ascii="Times New Roman" w:hAnsi="Times New Roman"/>
          <w:sz w:val="24"/>
          <w:szCs w:val="24"/>
        </w:rPr>
      </w:pPr>
    </w:p>
    <w:p w14:paraId="616DDBF6" w14:textId="01A5A77F" w:rsidR="00932F6C" w:rsidRPr="00CA28DC" w:rsidRDefault="00932F6C" w:rsidP="00CA28DC">
      <w:pPr>
        <w:pStyle w:val="Betarp"/>
        <w:rPr>
          <w:rFonts w:ascii="Times New Roman" w:hAnsi="Times New Roman"/>
          <w:sz w:val="24"/>
          <w:szCs w:val="24"/>
        </w:rPr>
      </w:pPr>
      <w:r w:rsidRPr="00CA28DC">
        <w:rPr>
          <w:rFonts w:ascii="Times New Roman" w:hAnsi="Times New Roman"/>
          <w:sz w:val="24"/>
          <w:szCs w:val="24"/>
        </w:rPr>
        <w:lastRenderedPageBreak/>
        <w:t>Rokiškio rajono savivaldybės tarybai</w:t>
      </w:r>
    </w:p>
    <w:p w14:paraId="616DDBF7" w14:textId="77777777" w:rsidR="00932F6C" w:rsidRPr="00CA28DC" w:rsidRDefault="00932F6C" w:rsidP="00932F6C">
      <w:pPr>
        <w:ind w:firstLine="720"/>
        <w:jc w:val="center"/>
        <w:rPr>
          <w:b/>
          <w:sz w:val="24"/>
          <w:szCs w:val="24"/>
          <w:lang w:val="lt-LT"/>
        </w:rPr>
      </w:pPr>
    </w:p>
    <w:p w14:paraId="4B175946" w14:textId="77777777" w:rsidR="00126F37" w:rsidRDefault="00932F6C" w:rsidP="00854E07">
      <w:pPr>
        <w:ind w:firstLine="720"/>
        <w:jc w:val="center"/>
        <w:rPr>
          <w:b/>
          <w:sz w:val="24"/>
          <w:szCs w:val="24"/>
          <w:lang w:val="lt-LT"/>
        </w:rPr>
      </w:pPr>
      <w:r w:rsidRPr="00CA28DC">
        <w:rPr>
          <w:b/>
          <w:sz w:val="24"/>
          <w:szCs w:val="24"/>
          <w:lang w:val="lt-LT"/>
        </w:rPr>
        <w:t>SPR</w:t>
      </w:r>
      <w:r w:rsidR="008258B3" w:rsidRPr="00CA28DC">
        <w:rPr>
          <w:b/>
          <w:sz w:val="24"/>
          <w:szCs w:val="24"/>
          <w:lang w:val="lt-LT"/>
        </w:rPr>
        <w:t>ENDIMO PROJEKTO ,,DĖL PRITARIMO</w:t>
      </w:r>
      <w:r w:rsidRPr="00CA28DC">
        <w:rPr>
          <w:b/>
          <w:sz w:val="24"/>
          <w:szCs w:val="24"/>
          <w:lang w:val="lt-LT"/>
        </w:rPr>
        <w:t xml:space="preserve"> </w:t>
      </w:r>
      <w:r w:rsidR="00A64DF4" w:rsidRPr="00CA28DC">
        <w:rPr>
          <w:b/>
          <w:sz w:val="24"/>
          <w:szCs w:val="24"/>
          <w:lang w:val="lt-LT"/>
        </w:rPr>
        <w:t xml:space="preserve">AKCINĖS BENDROVĖS </w:t>
      </w:r>
      <w:r w:rsidR="00F21BC8" w:rsidRPr="00CA28DC">
        <w:rPr>
          <w:rFonts w:eastAsia="Calibri"/>
          <w:b/>
          <w:sz w:val="24"/>
          <w:szCs w:val="24"/>
          <w:lang w:val="lt-LT" w:eastAsia="en-US"/>
        </w:rPr>
        <w:t xml:space="preserve">ROKIŠKIO BUTŲ ŪKIO </w:t>
      </w:r>
      <w:r w:rsidRPr="00CA28DC">
        <w:rPr>
          <w:b/>
          <w:sz w:val="24"/>
          <w:szCs w:val="24"/>
          <w:lang w:val="lt-LT"/>
        </w:rPr>
        <w:t>20</w:t>
      </w:r>
      <w:r w:rsidR="00990C62" w:rsidRPr="00CA28DC">
        <w:rPr>
          <w:b/>
          <w:sz w:val="24"/>
          <w:szCs w:val="24"/>
          <w:lang w:val="lt-LT"/>
        </w:rPr>
        <w:t>20</w:t>
      </w:r>
      <w:r w:rsidRPr="00CA28DC">
        <w:rPr>
          <w:b/>
          <w:sz w:val="24"/>
          <w:szCs w:val="24"/>
          <w:lang w:val="lt-LT"/>
        </w:rPr>
        <w:t xml:space="preserve"> METŲ VEIKLOS ATASKAITAI“</w:t>
      </w:r>
      <w:r w:rsidR="00854E07" w:rsidRPr="00CA28DC">
        <w:rPr>
          <w:b/>
          <w:sz w:val="24"/>
          <w:szCs w:val="24"/>
          <w:lang w:val="lt-LT"/>
        </w:rPr>
        <w:t xml:space="preserve"> </w:t>
      </w:r>
    </w:p>
    <w:p w14:paraId="61D83E37" w14:textId="59C8BDBA" w:rsidR="00854E07" w:rsidRPr="00CA28DC" w:rsidRDefault="00854E07" w:rsidP="00854E07">
      <w:pPr>
        <w:ind w:firstLine="720"/>
        <w:jc w:val="center"/>
        <w:rPr>
          <w:b/>
          <w:sz w:val="24"/>
          <w:szCs w:val="24"/>
          <w:lang w:val="lt-LT"/>
        </w:rPr>
      </w:pPr>
      <w:bookmarkStart w:id="2" w:name="_GoBack"/>
      <w:bookmarkEnd w:id="2"/>
      <w:r w:rsidRPr="00CA28DC">
        <w:rPr>
          <w:b/>
          <w:sz w:val="24"/>
          <w:szCs w:val="24"/>
          <w:lang w:val="lt-LT"/>
        </w:rPr>
        <w:t>AIŠKINAMASIS RAŠTAS</w:t>
      </w:r>
    </w:p>
    <w:p w14:paraId="616DDBFA" w14:textId="77777777" w:rsidR="00932F6C" w:rsidRPr="00CA28DC" w:rsidRDefault="00932F6C" w:rsidP="00932F6C">
      <w:pPr>
        <w:jc w:val="center"/>
        <w:rPr>
          <w:sz w:val="24"/>
          <w:szCs w:val="24"/>
          <w:lang w:val="lt-LT"/>
        </w:rPr>
      </w:pPr>
    </w:p>
    <w:p w14:paraId="616DDBFB" w14:textId="2FB16787" w:rsidR="00D8330F" w:rsidRPr="00CA28DC" w:rsidRDefault="00D8330F" w:rsidP="00932F6C">
      <w:pPr>
        <w:jc w:val="center"/>
        <w:rPr>
          <w:sz w:val="24"/>
          <w:szCs w:val="24"/>
          <w:lang w:val="lt-LT"/>
        </w:rPr>
      </w:pPr>
      <w:r w:rsidRPr="00CA28DC">
        <w:rPr>
          <w:sz w:val="24"/>
          <w:szCs w:val="24"/>
          <w:lang w:val="lt-LT"/>
        </w:rPr>
        <w:t>202</w:t>
      </w:r>
      <w:r w:rsidR="00990C62" w:rsidRPr="00CA28DC">
        <w:rPr>
          <w:sz w:val="24"/>
          <w:szCs w:val="24"/>
          <w:lang w:val="lt-LT"/>
        </w:rPr>
        <w:t>1</w:t>
      </w:r>
      <w:r w:rsidRPr="00CA28DC">
        <w:rPr>
          <w:sz w:val="24"/>
          <w:szCs w:val="24"/>
          <w:lang w:val="lt-LT"/>
        </w:rPr>
        <w:t>-04-1</w:t>
      </w:r>
      <w:r w:rsidR="00990C62" w:rsidRPr="00CA28DC">
        <w:rPr>
          <w:sz w:val="24"/>
          <w:szCs w:val="24"/>
          <w:lang w:val="lt-LT"/>
        </w:rPr>
        <w:t>2</w:t>
      </w:r>
    </w:p>
    <w:p w14:paraId="616DDBFC" w14:textId="77777777" w:rsidR="00D8330F" w:rsidRPr="00CA28DC" w:rsidRDefault="00D8330F" w:rsidP="00932F6C">
      <w:pPr>
        <w:jc w:val="center"/>
        <w:rPr>
          <w:sz w:val="24"/>
          <w:szCs w:val="24"/>
          <w:lang w:val="lt-LT"/>
        </w:rPr>
      </w:pPr>
      <w:r w:rsidRPr="00CA28DC">
        <w:rPr>
          <w:sz w:val="24"/>
          <w:szCs w:val="24"/>
          <w:lang w:val="lt-LT"/>
        </w:rPr>
        <w:t>Rokiškis</w:t>
      </w:r>
    </w:p>
    <w:p w14:paraId="616DDBFD" w14:textId="77777777" w:rsidR="00932F6C" w:rsidRPr="00CA28DC" w:rsidRDefault="00932F6C" w:rsidP="00932F6C">
      <w:pPr>
        <w:ind w:firstLine="720"/>
        <w:jc w:val="center"/>
        <w:rPr>
          <w:b/>
          <w:sz w:val="24"/>
          <w:szCs w:val="24"/>
          <w:lang w:val="lt-LT"/>
        </w:rPr>
      </w:pPr>
    </w:p>
    <w:p w14:paraId="616DDBFE" w14:textId="77777777" w:rsidR="004A7A22" w:rsidRPr="00CA28DC" w:rsidRDefault="004A7A22" w:rsidP="004A7A22">
      <w:pPr>
        <w:ind w:firstLine="720"/>
        <w:jc w:val="both"/>
        <w:rPr>
          <w:b/>
          <w:sz w:val="24"/>
          <w:szCs w:val="24"/>
          <w:lang w:val="lt-LT"/>
        </w:rPr>
      </w:pPr>
      <w:r w:rsidRPr="00CA28DC">
        <w:rPr>
          <w:b/>
          <w:sz w:val="24"/>
          <w:szCs w:val="24"/>
          <w:lang w:val="lt-LT"/>
        </w:rPr>
        <w:t>Parengt</w:t>
      </w:r>
      <w:r w:rsidR="008258B3" w:rsidRPr="00CA28DC">
        <w:rPr>
          <w:b/>
          <w:sz w:val="24"/>
          <w:szCs w:val="24"/>
          <w:lang w:val="lt-LT"/>
        </w:rPr>
        <w:t xml:space="preserve">o sprendimo projekto tikslai ir </w:t>
      </w:r>
      <w:r w:rsidRPr="00CA28DC">
        <w:rPr>
          <w:b/>
          <w:sz w:val="24"/>
          <w:szCs w:val="24"/>
          <w:lang w:val="lt-LT"/>
        </w:rPr>
        <w:t xml:space="preserve">uždaviniai. </w:t>
      </w:r>
    </w:p>
    <w:p w14:paraId="616DDBFF" w14:textId="77777777" w:rsidR="004A7A22" w:rsidRPr="00CA28DC" w:rsidRDefault="004A7A22" w:rsidP="004A7A22">
      <w:pPr>
        <w:ind w:firstLine="720"/>
        <w:jc w:val="both"/>
        <w:rPr>
          <w:sz w:val="24"/>
          <w:szCs w:val="24"/>
          <w:lang w:val="lt-LT"/>
        </w:rPr>
      </w:pPr>
      <w:r w:rsidRPr="00CA28DC">
        <w:rPr>
          <w:sz w:val="24"/>
          <w:szCs w:val="24"/>
          <w:lang w:val="lt-LT"/>
        </w:rPr>
        <w:t>Kaip yra numatyta Lietuvos Respublikos vietos savivaldos įstatyme ir Rokiškio rajono savivaldybės tarybos veiklos reglame</w:t>
      </w:r>
      <w:r w:rsidR="008258B3" w:rsidRPr="00CA28DC">
        <w:rPr>
          <w:sz w:val="24"/>
          <w:szCs w:val="24"/>
          <w:lang w:val="lt-LT"/>
        </w:rPr>
        <w:t xml:space="preserve">nte, teikiama tarybai </w:t>
      </w:r>
      <w:r w:rsidR="00620389" w:rsidRPr="00CA28DC">
        <w:rPr>
          <w:sz w:val="24"/>
          <w:szCs w:val="24"/>
          <w:lang w:val="lt-LT"/>
        </w:rPr>
        <w:t xml:space="preserve">pritarti </w:t>
      </w:r>
      <w:r w:rsidR="008258B3" w:rsidRPr="00CA28DC">
        <w:rPr>
          <w:sz w:val="24"/>
          <w:szCs w:val="24"/>
          <w:lang w:val="lt-LT"/>
        </w:rPr>
        <w:t xml:space="preserve">bendrovės </w:t>
      </w:r>
      <w:r w:rsidRPr="00CA28DC">
        <w:rPr>
          <w:sz w:val="24"/>
          <w:szCs w:val="24"/>
          <w:lang w:val="lt-LT"/>
        </w:rPr>
        <w:t>veiklos ataskaita.</w:t>
      </w:r>
    </w:p>
    <w:p w14:paraId="616DDC00" w14:textId="77777777" w:rsidR="004A7A22" w:rsidRPr="00CA28DC" w:rsidRDefault="004A7A22" w:rsidP="004A7A22">
      <w:pPr>
        <w:ind w:firstLine="709"/>
        <w:jc w:val="both"/>
        <w:rPr>
          <w:sz w:val="24"/>
          <w:szCs w:val="24"/>
          <w:lang w:val="lt-LT"/>
        </w:rPr>
      </w:pPr>
      <w:r w:rsidRPr="00CA28DC">
        <w:rPr>
          <w:b/>
          <w:bCs/>
          <w:sz w:val="24"/>
          <w:szCs w:val="24"/>
          <w:lang w:val="lt-LT"/>
        </w:rPr>
        <w:t>Šiuo metu esantis teisinis reglamentavimas.</w:t>
      </w:r>
      <w:r w:rsidRPr="00CA28DC">
        <w:rPr>
          <w:sz w:val="24"/>
          <w:szCs w:val="24"/>
          <w:lang w:val="lt-LT"/>
        </w:rPr>
        <w:t xml:space="preserve"> </w:t>
      </w:r>
    </w:p>
    <w:p w14:paraId="2357FB6F" w14:textId="77777777" w:rsidR="00CA28DC" w:rsidRDefault="004A7A22" w:rsidP="00CA28DC">
      <w:pPr>
        <w:ind w:firstLine="709"/>
        <w:jc w:val="both"/>
        <w:rPr>
          <w:sz w:val="24"/>
          <w:szCs w:val="24"/>
          <w:lang w:val="lt-LT"/>
        </w:rPr>
      </w:pPr>
      <w:r w:rsidRPr="00CA28DC">
        <w:rPr>
          <w:sz w:val="24"/>
          <w:szCs w:val="24"/>
          <w:lang w:val="lt-LT"/>
        </w:rPr>
        <w:t>Lietuvos Respublik</w:t>
      </w:r>
      <w:r w:rsidR="008258B3" w:rsidRPr="00CA28DC">
        <w:rPr>
          <w:sz w:val="24"/>
          <w:szCs w:val="24"/>
          <w:lang w:val="lt-LT"/>
        </w:rPr>
        <w:t xml:space="preserve">os vietos savivaldos įstatymas </w:t>
      </w:r>
      <w:r w:rsidRPr="00CA28DC">
        <w:rPr>
          <w:sz w:val="24"/>
          <w:szCs w:val="24"/>
          <w:lang w:val="lt-LT"/>
        </w:rPr>
        <w:t>ir Rokiškio rajono savivaldybės tarybos veiklos reglamentas.</w:t>
      </w:r>
    </w:p>
    <w:p w14:paraId="4DE25F6B" w14:textId="77777777" w:rsidR="00CA28DC" w:rsidRDefault="004A7A22" w:rsidP="00CA28DC">
      <w:pPr>
        <w:ind w:firstLine="709"/>
        <w:jc w:val="both"/>
        <w:rPr>
          <w:sz w:val="24"/>
          <w:szCs w:val="24"/>
          <w:lang w:val="lt-LT"/>
        </w:rPr>
      </w:pPr>
      <w:r w:rsidRPr="00CA28DC">
        <w:rPr>
          <w:b/>
          <w:bCs/>
          <w:sz w:val="24"/>
          <w:szCs w:val="24"/>
          <w:lang w:val="lt-LT"/>
        </w:rPr>
        <w:t>Sprendimo projekto esmė.</w:t>
      </w:r>
      <w:r w:rsidRPr="00CA28DC">
        <w:rPr>
          <w:sz w:val="24"/>
          <w:szCs w:val="24"/>
          <w:lang w:val="lt-LT"/>
        </w:rPr>
        <w:t xml:space="preserve"> </w:t>
      </w:r>
    </w:p>
    <w:p w14:paraId="546A7695" w14:textId="00736BB5" w:rsidR="00854E07" w:rsidRPr="00CA28DC" w:rsidRDefault="004A7A22" w:rsidP="00CA28DC">
      <w:pPr>
        <w:ind w:firstLine="709"/>
        <w:jc w:val="both"/>
        <w:rPr>
          <w:sz w:val="24"/>
          <w:szCs w:val="24"/>
          <w:lang w:val="lt-LT"/>
        </w:rPr>
      </w:pPr>
      <w:r w:rsidRPr="00CA28DC">
        <w:rPr>
          <w:sz w:val="24"/>
          <w:szCs w:val="24"/>
          <w:lang w:val="lt-LT"/>
        </w:rPr>
        <w:t xml:space="preserve">Lietuvos Respublikos vietos savivaldos įstatymo 16 </w:t>
      </w:r>
      <w:r w:rsidR="008258B3" w:rsidRPr="00CA28DC">
        <w:rPr>
          <w:sz w:val="24"/>
          <w:szCs w:val="24"/>
          <w:lang w:val="lt-LT"/>
        </w:rPr>
        <w:t xml:space="preserve">straipsnio 2 dalies 19 punkte, </w:t>
      </w:r>
      <w:r w:rsidRPr="00CA28DC">
        <w:rPr>
          <w:sz w:val="24"/>
          <w:szCs w:val="24"/>
          <w:lang w:val="lt-LT"/>
        </w:rPr>
        <w:t>Rokiškio rajono sav</w:t>
      </w:r>
      <w:r w:rsidR="008258B3" w:rsidRPr="00CA28DC">
        <w:rPr>
          <w:sz w:val="24"/>
          <w:szCs w:val="24"/>
          <w:lang w:val="lt-LT"/>
        </w:rPr>
        <w:t>ivaldybės tarybos</w:t>
      </w:r>
      <w:r w:rsidR="00620389" w:rsidRPr="00CA28DC">
        <w:rPr>
          <w:sz w:val="24"/>
          <w:szCs w:val="24"/>
          <w:lang w:val="lt-LT"/>
        </w:rPr>
        <w:t xml:space="preserve"> 2019 m.</w:t>
      </w:r>
      <w:r w:rsidR="008258B3" w:rsidRPr="00CA28DC">
        <w:rPr>
          <w:sz w:val="24"/>
          <w:szCs w:val="24"/>
          <w:lang w:val="lt-LT"/>
        </w:rPr>
        <w:t xml:space="preserve"> </w:t>
      </w:r>
      <w:r w:rsidR="00620389" w:rsidRPr="00CA28DC">
        <w:rPr>
          <w:sz w:val="24"/>
          <w:szCs w:val="24"/>
          <w:lang w:val="lt-LT" w:eastAsia="ar-SA"/>
        </w:rPr>
        <w:t xml:space="preserve">kovo 29 d. sprendimu Nr. TS-43 </w:t>
      </w:r>
      <w:r w:rsidRPr="00CA28DC">
        <w:rPr>
          <w:sz w:val="24"/>
          <w:szCs w:val="24"/>
          <w:lang w:val="lt-LT"/>
        </w:rPr>
        <w:t>patvirtintame Rokiškio rajono savivaldybės tarybos veiklos</w:t>
      </w:r>
      <w:r w:rsidR="008258B3" w:rsidRPr="00CA28DC">
        <w:rPr>
          <w:sz w:val="24"/>
          <w:szCs w:val="24"/>
          <w:lang w:val="lt-LT"/>
        </w:rPr>
        <w:t xml:space="preserve"> reglamente numatyta, </w:t>
      </w:r>
      <w:r w:rsidRPr="00CA28DC">
        <w:rPr>
          <w:sz w:val="24"/>
          <w:szCs w:val="24"/>
          <w:lang w:val="lt-LT"/>
        </w:rPr>
        <w:t>kad savivaldybės taryba išklauso</w:t>
      </w:r>
      <w:r w:rsidR="008258B3" w:rsidRPr="00CA28DC">
        <w:rPr>
          <w:sz w:val="24"/>
          <w:szCs w:val="24"/>
          <w:lang w:val="lt-LT"/>
        </w:rPr>
        <w:t xml:space="preserve"> </w:t>
      </w:r>
      <w:r w:rsidRPr="00CA28DC">
        <w:rPr>
          <w:sz w:val="24"/>
          <w:szCs w:val="24"/>
          <w:lang w:val="lt-LT"/>
        </w:rPr>
        <w:t>savivaldybės kontroliuojamų įmonių vadovų ataskaitas, vadovų atsakymus į tarybos narių paklausimus ir priima sprendimus dėl</w:t>
      </w:r>
      <w:r w:rsidR="008258B3" w:rsidRPr="00CA28DC">
        <w:rPr>
          <w:sz w:val="24"/>
          <w:szCs w:val="24"/>
          <w:lang w:val="lt-LT"/>
        </w:rPr>
        <w:t xml:space="preserve"> šių ataskaitų. </w:t>
      </w:r>
      <w:r w:rsidR="001F26FA" w:rsidRPr="00CA28DC">
        <w:rPr>
          <w:sz w:val="24"/>
          <w:szCs w:val="24"/>
          <w:lang w:val="lt-LT"/>
        </w:rPr>
        <w:t xml:space="preserve">Dėl to teikiama </w:t>
      </w:r>
      <w:r w:rsidR="00A64DF4" w:rsidRPr="00CA28DC">
        <w:rPr>
          <w:sz w:val="24"/>
          <w:szCs w:val="24"/>
          <w:lang w:val="lt-LT"/>
        </w:rPr>
        <w:t xml:space="preserve">akcinės bendrovės </w:t>
      </w:r>
      <w:r w:rsidR="00F21BC8" w:rsidRPr="00CA28DC">
        <w:rPr>
          <w:sz w:val="24"/>
          <w:szCs w:val="24"/>
          <w:lang w:val="lt-LT"/>
        </w:rPr>
        <w:t xml:space="preserve">akcinės bendrovės Rokiškio butų ūkio, kurioje 70,5 proc. akcijų </w:t>
      </w:r>
      <w:r w:rsidR="00074117" w:rsidRPr="00CA28DC">
        <w:rPr>
          <w:sz w:val="24"/>
          <w:szCs w:val="24"/>
          <w:lang w:val="lt-LT"/>
        </w:rPr>
        <w:t>priklauso R</w:t>
      </w:r>
      <w:r w:rsidR="00990C62" w:rsidRPr="00CA28DC">
        <w:rPr>
          <w:sz w:val="24"/>
          <w:szCs w:val="24"/>
          <w:lang w:val="lt-LT"/>
        </w:rPr>
        <w:t>okiškio rajono savivaldybei, 2020</w:t>
      </w:r>
      <w:r w:rsidR="00074117" w:rsidRPr="00CA28DC">
        <w:rPr>
          <w:sz w:val="24"/>
          <w:szCs w:val="24"/>
          <w:lang w:val="lt-LT"/>
        </w:rPr>
        <w:t xml:space="preserve"> metų veiklos ataskaita. Ataskaitoje pateikti duomenys apie bendrovę, darbuotojus, jų darbo apmokėjimą, turtą, bendrovės ūkinę veiklą, finansinius rodiklius, bendrovės veiklos planai. </w:t>
      </w:r>
    </w:p>
    <w:p w14:paraId="616DDC04" w14:textId="1A33BC94" w:rsidR="004A7A22" w:rsidRPr="00CA28DC" w:rsidRDefault="00854E07" w:rsidP="00854E07">
      <w:pPr>
        <w:tabs>
          <w:tab w:val="left" w:pos="709"/>
        </w:tabs>
        <w:jc w:val="both"/>
        <w:rPr>
          <w:sz w:val="24"/>
          <w:szCs w:val="24"/>
          <w:lang w:val="lt-LT"/>
        </w:rPr>
      </w:pPr>
      <w:r w:rsidRPr="00CA28DC">
        <w:rPr>
          <w:sz w:val="24"/>
          <w:szCs w:val="24"/>
          <w:lang w:val="lt-LT"/>
        </w:rPr>
        <w:tab/>
      </w:r>
      <w:r w:rsidR="004A7A22" w:rsidRPr="00CA28DC">
        <w:rPr>
          <w:b/>
          <w:sz w:val="24"/>
          <w:szCs w:val="24"/>
          <w:lang w:val="lt-LT"/>
        </w:rPr>
        <w:t>Galimos pasekmės, priėmus siūlomą tarybos sprendimo projektą:</w:t>
      </w:r>
    </w:p>
    <w:p w14:paraId="616DDC05" w14:textId="2F66D49B" w:rsidR="004A7A22" w:rsidRPr="00CA28DC" w:rsidRDefault="004A7A22" w:rsidP="004A7A22">
      <w:pPr>
        <w:tabs>
          <w:tab w:val="left" w:pos="1134"/>
        </w:tabs>
        <w:autoSpaceDE w:val="0"/>
        <w:autoSpaceDN w:val="0"/>
        <w:adjustRightInd w:val="0"/>
        <w:ind w:firstLine="720"/>
        <w:jc w:val="both"/>
        <w:rPr>
          <w:sz w:val="24"/>
          <w:szCs w:val="24"/>
          <w:lang w:val="lt-LT"/>
        </w:rPr>
      </w:pPr>
      <w:r w:rsidRPr="00CA28DC">
        <w:rPr>
          <w:b/>
          <w:sz w:val="24"/>
          <w:szCs w:val="24"/>
          <w:lang w:val="lt-LT"/>
        </w:rPr>
        <w:t>teigiamos</w:t>
      </w:r>
      <w:r w:rsidRPr="00CA28DC">
        <w:rPr>
          <w:sz w:val="24"/>
          <w:szCs w:val="24"/>
          <w:lang w:val="lt-LT"/>
        </w:rPr>
        <w:t xml:space="preserve"> –  bus laikomasi teisės aktuose nustatytų nuostatų</w:t>
      </w:r>
      <w:r w:rsidR="00854E07" w:rsidRPr="00CA28DC">
        <w:rPr>
          <w:sz w:val="24"/>
          <w:szCs w:val="24"/>
          <w:lang w:val="lt-LT"/>
        </w:rPr>
        <w:t>;</w:t>
      </w:r>
    </w:p>
    <w:p w14:paraId="616DDC06" w14:textId="77777777" w:rsidR="004A7A22" w:rsidRPr="00CA28DC" w:rsidRDefault="004A7A22" w:rsidP="004A7A22">
      <w:pPr>
        <w:pStyle w:val="Antrats"/>
        <w:tabs>
          <w:tab w:val="left" w:pos="1134"/>
        </w:tabs>
        <w:ind w:firstLine="720"/>
        <w:jc w:val="both"/>
        <w:rPr>
          <w:sz w:val="24"/>
          <w:szCs w:val="24"/>
          <w:lang w:val="lt-LT"/>
        </w:rPr>
      </w:pPr>
      <w:r w:rsidRPr="00CA28DC">
        <w:rPr>
          <w:b/>
          <w:sz w:val="24"/>
          <w:szCs w:val="24"/>
          <w:lang w:val="lt-LT"/>
        </w:rPr>
        <w:t>neigiamos</w:t>
      </w:r>
      <w:r w:rsidRPr="00CA28DC">
        <w:rPr>
          <w:sz w:val="24"/>
          <w:szCs w:val="24"/>
          <w:lang w:val="lt-LT"/>
        </w:rPr>
        <w:t xml:space="preserve"> – nebus. </w:t>
      </w:r>
    </w:p>
    <w:p w14:paraId="66A0F848" w14:textId="77777777" w:rsidR="00CA28DC" w:rsidRDefault="005F2581" w:rsidP="00CA28DC">
      <w:pPr>
        <w:pStyle w:val="Antrats"/>
        <w:tabs>
          <w:tab w:val="left" w:pos="1296"/>
        </w:tabs>
        <w:ind w:firstLine="720"/>
        <w:jc w:val="both"/>
        <w:rPr>
          <w:b/>
          <w:sz w:val="24"/>
          <w:szCs w:val="24"/>
          <w:lang w:val="lt-LT"/>
        </w:rPr>
      </w:pPr>
      <w:r w:rsidRPr="00CA28DC">
        <w:rPr>
          <w:b/>
          <w:sz w:val="24"/>
          <w:szCs w:val="24"/>
          <w:lang w:val="lt-LT"/>
        </w:rPr>
        <w:t>S</w:t>
      </w:r>
      <w:r w:rsidR="004A7A22" w:rsidRPr="00CA28DC">
        <w:rPr>
          <w:b/>
          <w:sz w:val="24"/>
          <w:szCs w:val="24"/>
          <w:lang w:val="lt-LT"/>
        </w:rPr>
        <w:t>prendimo nauda Rokiškio rajono gyventojams.</w:t>
      </w:r>
    </w:p>
    <w:p w14:paraId="616DDC08" w14:textId="4861D266" w:rsidR="004A7A22" w:rsidRPr="00CA28DC" w:rsidRDefault="00965DEF" w:rsidP="00CA28DC">
      <w:pPr>
        <w:pStyle w:val="Antrats"/>
        <w:tabs>
          <w:tab w:val="left" w:pos="1296"/>
        </w:tabs>
        <w:ind w:firstLine="720"/>
        <w:jc w:val="both"/>
        <w:rPr>
          <w:b/>
          <w:sz w:val="24"/>
          <w:szCs w:val="24"/>
          <w:lang w:val="lt-LT"/>
        </w:rPr>
      </w:pPr>
      <w:r w:rsidRPr="00CA28DC">
        <w:rPr>
          <w:sz w:val="24"/>
          <w:szCs w:val="24"/>
          <w:lang w:val="lt-LT"/>
        </w:rPr>
        <w:t>Bendrovės veiklos</w:t>
      </w:r>
      <w:r w:rsidR="004A7A22" w:rsidRPr="00CA28DC">
        <w:rPr>
          <w:sz w:val="24"/>
          <w:szCs w:val="24"/>
          <w:lang w:val="lt-LT"/>
        </w:rPr>
        <w:t xml:space="preserve"> ataskaita yra vieša, ir Rokiškio rajono savivaldybės gyventojai gali išsamiai susipažinti su bendrovės veikla, teikiamomis paslaugomis, gali teikti pasiūlymus, pageidavimus. </w:t>
      </w:r>
    </w:p>
    <w:p w14:paraId="616DDC09" w14:textId="77777777" w:rsidR="004A7A22" w:rsidRPr="00CA28DC" w:rsidRDefault="004A7A22" w:rsidP="004A7A22">
      <w:pPr>
        <w:tabs>
          <w:tab w:val="left" w:pos="1134"/>
        </w:tabs>
        <w:ind w:firstLine="720"/>
        <w:jc w:val="both"/>
        <w:rPr>
          <w:sz w:val="24"/>
          <w:szCs w:val="24"/>
          <w:lang w:val="lt-LT"/>
        </w:rPr>
      </w:pPr>
      <w:r w:rsidRPr="00CA28DC">
        <w:rPr>
          <w:b/>
          <w:bCs/>
          <w:sz w:val="24"/>
          <w:szCs w:val="24"/>
          <w:lang w:val="lt-LT"/>
        </w:rPr>
        <w:t>Finansavimo šaltiniai ir lėšų poreikis</w:t>
      </w:r>
      <w:r w:rsidRPr="00CA28DC">
        <w:rPr>
          <w:sz w:val="24"/>
          <w:szCs w:val="24"/>
          <w:lang w:val="lt-LT"/>
        </w:rPr>
        <w:t>.</w:t>
      </w:r>
    </w:p>
    <w:p w14:paraId="616DDC0A" w14:textId="77777777" w:rsidR="004A7A22" w:rsidRPr="00CA28DC" w:rsidRDefault="004A7A22" w:rsidP="004A7A22">
      <w:pPr>
        <w:tabs>
          <w:tab w:val="left" w:pos="1134"/>
        </w:tabs>
        <w:ind w:firstLine="720"/>
        <w:jc w:val="both"/>
        <w:rPr>
          <w:sz w:val="24"/>
          <w:szCs w:val="24"/>
          <w:lang w:val="lt-LT"/>
        </w:rPr>
      </w:pPr>
      <w:r w:rsidRPr="00CA28DC">
        <w:rPr>
          <w:sz w:val="24"/>
          <w:szCs w:val="24"/>
          <w:lang w:val="lt-LT"/>
        </w:rPr>
        <w:t xml:space="preserve">Sprendimui įgyvendinti savivaldybės biudžeto lėšų nereikės. </w:t>
      </w:r>
    </w:p>
    <w:p w14:paraId="616DDC0B" w14:textId="77777777" w:rsidR="004A7A22" w:rsidRPr="00CA28DC" w:rsidRDefault="004A7A22" w:rsidP="004A7A22">
      <w:pPr>
        <w:tabs>
          <w:tab w:val="left" w:pos="1134"/>
        </w:tabs>
        <w:ind w:firstLine="720"/>
        <w:jc w:val="both"/>
        <w:rPr>
          <w:sz w:val="24"/>
          <w:szCs w:val="24"/>
          <w:lang w:val="lt-LT"/>
        </w:rPr>
      </w:pPr>
      <w:r w:rsidRPr="00CA28DC">
        <w:rPr>
          <w:b/>
          <w:bCs/>
          <w:sz w:val="24"/>
          <w:szCs w:val="24"/>
          <w:lang w:val="lt-LT"/>
        </w:rPr>
        <w:t>Suderinamumas su Lietuvos Respublikos galiojančiais teisės norminiais aktais.</w:t>
      </w:r>
    </w:p>
    <w:p w14:paraId="44E9D667" w14:textId="77777777" w:rsidR="00854E07" w:rsidRPr="00CA28DC" w:rsidRDefault="004A7A22" w:rsidP="00854E07">
      <w:pPr>
        <w:tabs>
          <w:tab w:val="left" w:pos="1134"/>
        </w:tabs>
        <w:ind w:firstLine="720"/>
        <w:jc w:val="both"/>
        <w:rPr>
          <w:sz w:val="24"/>
          <w:szCs w:val="24"/>
          <w:lang w:val="lt-LT"/>
        </w:rPr>
      </w:pPr>
      <w:r w:rsidRPr="00CA28DC">
        <w:rPr>
          <w:sz w:val="24"/>
          <w:szCs w:val="24"/>
          <w:lang w:val="lt-LT"/>
        </w:rPr>
        <w:t>Projektas neprieštarauja galiojantiems teisės aktams.</w:t>
      </w:r>
    </w:p>
    <w:p w14:paraId="5C43CC35" w14:textId="77777777" w:rsidR="00CA28DC" w:rsidRDefault="004A7A22" w:rsidP="00CA28DC">
      <w:pPr>
        <w:tabs>
          <w:tab w:val="left" w:pos="1134"/>
        </w:tabs>
        <w:ind w:firstLine="720"/>
        <w:jc w:val="both"/>
        <w:rPr>
          <w:sz w:val="24"/>
          <w:szCs w:val="24"/>
          <w:lang w:val="lt-LT"/>
        </w:rPr>
      </w:pPr>
      <w:r w:rsidRPr="00CA28DC">
        <w:rPr>
          <w:b/>
          <w:sz w:val="24"/>
          <w:szCs w:val="24"/>
          <w:lang w:val="lt-LT"/>
        </w:rPr>
        <w:t>Antikorupcinis vertinimas</w:t>
      </w:r>
      <w:r w:rsidRPr="00CA28DC">
        <w:rPr>
          <w:sz w:val="24"/>
          <w:szCs w:val="24"/>
          <w:lang w:val="lt-LT"/>
        </w:rPr>
        <w:t>.</w:t>
      </w:r>
    </w:p>
    <w:p w14:paraId="616DDC0E" w14:textId="46D50255" w:rsidR="004A7A22" w:rsidRPr="00CA28DC" w:rsidRDefault="004A7A22" w:rsidP="00CA28DC">
      <w:pPr>
        <w:tabs>
          <w:tab w:val="left" w:pos="1134"/>
        </w:tabs>
        <w:ind w:firstLine="720"/>
        <w:jc w:val="both"/>
        <w:rPr>
          <w:sz w:val="24"/>
          <w:szCs w:val="24"/>
          <w:lang w:val="lt-LT"/>
        </w:rPr>
      </w:pPr>
      <w:r w:rsidRPr="00CA28DC">
        <w:rPr>
          <w:sz w:val="24"/>
          <w:szCs w:val="24"/>
          <w:lang w:val="lt-LT"/>
        </w:rPr>
        <w:t xml:space="preserve">Teisės akte nenumatoma reguliuoti visuomeninių santykių, susijusių su Lietuvos Respublikos </w:t>
      </w:r>
      <w:r w:rsidR="00CA28DC">
        <w:rPr>
          <w:sz w:val="24"/>
          <w:szCs w:val="24"/>
          <w:lang w:val="lt-LT"/>
        </w:rPr>
        <w:t>k</w:t>
      </w:r>
      <w:r w:rsidRPr="00CA28DC">
        <w:rPr>
          <w:sz w:val="24"/>
          <w:szCs w:val="24"/>
          <w:lang w:val="lt-LT"/>
        </w:rPr>
        <w:t xml:space="preserve">orupcijos prevencijos įstatymo 8 straipsnio 1 dalyje numatytais veiksniais, todėl teisės aktas nevertintinas antikorupciniu požiūriu. </w:t>
      </w:r>
    </w:p>
    <w:p w14:paraId="616DDC0F" w14:textId="77777777" w:rsidR="004A7A22" w:rsidRPr="00CA28DC" w:rsidRDefault="004A7A22" w:rsidP="00932F6C">
      <w:pPr>
        <w:jc w:val="both"/>
        <w:rPr>
          <w:sz w:val="24"/>
          <w:szCs w:val="24"/>
          <w:lang w:val="lt-LT"/>
        </w:rPr>
      </w:pPr>
    </w:p>
    <w:p w14:paraId="616DDC10" w14:textId="77777777" w:rsidR="008258B3" w:rsidRPr="00CA28DC" w:rsidRDefault="008258B3" w:rsidP="00932F6C">
      <w:pPr>
        <w:jc w:val="both"/>
        <w:rPr>
          <w:sz w:val="24"/>
          <w:szCs w:val="24"/>
          <w:lang w:val="lt-LT"/>
        </w:rPr>
      </w:pPr>
    </w:p>
    <w:p w14:paraId="616DDC11" w14:textId="77777777" w:rsidR="008258B3" w:rsidRPr="00CA28DC" w:rsidRDefault="008258B3" w:rsidP="008258B3">
      <w:pPr>
        <w:jc w:val="both"/>
        <w:rPr>
          <w:sz w:val="24"/>
          <w:szCs w:val="24"/>
          <w:lang w:val="lt-LT"/>
        </w:rPr>
      </w:pPr>
      <w:r w:rsidRPr="00CA28DC">
        <w:rPr>
          <w:sz w:val="24"/>
          <w:szCs w:val="24"/>
          <w:lang w:val="lt-LT"/>
        </w:rPr>
        <w:t xml:space="preserve">Turto </w:t>
      </w:r>
      <w:r w:rsidR="00932F6C" w:rsidRPr="00CA28DC">
        <w:rPr>
          <w:sz w:val="24"/>
          <w:szCs w:val="24"/>
          <w:lang w:val="lt-LT"/>
        </w:rPr>
        <w:t xml:space="preserve">valdymo ir </w:t>
      </w:r>
      <w:r w:rsidRPr="00CA28DC">
        <w:rPr>
          <w:sz w:val="24"/>
          <w:szCs w:val="24"/>
          <w:lang w:val="lt-LT"/>
        </w:rPr>
        <w:t>ūkio</w:t>
      </w:r>
      <w:r w:rsidR="00932F6C" w:rsidRPr="00CA28DC">
        <w:rPr>
          <w:sz w:val="24"/>
          <w:szCs w:val="24"/>
          <w:lang w:val="lt-LT"/>
        </w:rPr>
        <w:t xml:space="preserve"> skyriaus</w:t>
      </w:r>
      <w:r w:rsidRPr="00CA28DC">
        <w:rPr>
          <w:sz w:val="24"/>
          <w:szCs w:val="24"/>
          <w:lang w:val="lt-LT"/>
        </w:rPr>
        <w:t xml:space="preserve"> vedėj</w:t>
      </w:r>
      <w:r w:rsidR="00620389" w:rsidRPr="00CA28DC">
        <w:rPr>
          <w:sz w:val="24"/>
          <w:szCs w:val="24"/>
          <w:lang w:val="lt-LT"/>
        </w:rPr>
        <w:t>a</w:t>
      </w:r>
      <w:r w:rsidR="00620389" w:rsidRPr="00CA28DC">
        <w:rPr>
          <w:sz w:val="24"/>
          <w:szCs w:val="24"/>
          <w:lang w:val="lt-LT"/>
        </w:rPr>
        <w:tab/>
      </w:r>
      <w:r w:rsidR="00620389" w:rsidRPr="00CA28DC">
        <w:rPr>
          <w:sz w:val="24"/>
          <w:szCs w:val="24"/>
          <w:lang w:val="lt-LT"/>
        </w:rPr>
        <w:tab/>
      </w:r>
      <w:r w:rsidRPr="00CA28DC">
        <w:rPr>
          <w:sz w:val="24"/>
          <w:szCs w:val="24"/>
          <w:lang w:val="lt-LT"/>
        </w:rPr>
        <w:tab/>
      </w:r>
      <w:r w:rsidRPr="00CA28DC">
        <w:rPr>
          <w:sz w:val="24"/>
          <w:szCs w:val="24"/>
          <w:lang w:val="lt-LT"/>
        </w:rPr>
        <w:tab/>
        <w:t>Violeta Bieliūnaitė-Vanagienė</w:t>
      </w:r>
    </w:p>
    <w:p w14:paraId="616DDC12" w14:textId="77777777" w:rsidR="004A7A22" w:rsidRPr="00CA28DC" w:rsidRDefault="00932F6C" w:rsidP="00932F6C">
      <w:pPr>
        <w:jc w:val="both"/>
        <w:rPr>
          <w:sz w:val="24"/>
          <w:szCs w:val="24"/>
          <w:lang w:val="lt-LT"/>
        </w:rPr>
      </w:pPr>
      <w:r w:rsidRPr="00CA28DC">
        <w:rPr>
          <w:sz w:val="24"/>
          <w:szCs w:val="24"/>
          <w:lang w:val="lt-LT"/>
        </w:rPr>
        <w:t xml:space="preserve"> </w:t>
      </w:r>
    </w:p>
    <w:p w14:paraId="616DDC13" w14:textId="77777777" w:rsidR="00932F6C" w:rsidRPr="00CA28DC" w:rsidRDefault="00932F6C" w:rsidP="00932F6C">
      <w:pPr>
        <w:jc w:val="both"/>
        <w:rPr>
          <w:sz w:val="24"/>
          <w:szCs w:val="24"/>
          <w:lang w:val="lt-LT"/>
        </w:rPr>
      </w:pPr>
    </w:p>
    <w:p w14:paraId="616DDC14" w14:textId="77777777" w:rsidR="00991587" w:rsidRPr="00CA28DC" w:rsidRDefault="00991587" w:rsidP="008D23EC">
      <w:pPr>
        <w:suppressAutoHyphens/>
        <w:ind w:firstLine="567"/>
        <w:rPr>
          <w:sz w:val="24"/>
          <w:szCs w:val="24"/>
          <w:shd w:val="clear" w:color="auto" w:fill="FFFFFF"/>
          <w:lang w:val="lt-LT"/>
        </w:rPr>
      </w:pPr>
    </w:p>
    <w:p w14:paraId="616DDC15" w14:textId="77777777" w:rsidR="00A36941" w:rsidRPr="00CA28DC" w:rsidRDefault="00A36941" w:rsidP="00A36941">
      <w:pPr>
        <w:jc w:val="both"/>
        <w:rPr>
          <w:sz w:val="24"/>
          <w:szCs w:val="24"/>
          <w:shd w:val="clear" w:color="auto" w:fill="FFFFFF"/>
          <w:lang w:val="lt-LT"/>
        </w:rPr>
      </w:pPr>
    </w:p>
    <w:p w14:paraId="616DDC16" w14:textId="77777777" w:rsidR="00A36941" w:rsidRPr="00CA28DC" w:rsidRDefault="00A36941" w:rsidP="00A36941">
      <w:pPr>
        <w:jc w:val="both"/>
        <w:rPr>
          <w:sz w:val="24"/>
          <w:szCs w:val="24"/>
          <w:shd w:val="clear" w:color="auto" w:fill="FFFFFF"/>
          <w:lang w:val="lt-LT"/>
        </w:rPr>
      </w:pPr>
    </w:p>
    <w:p w14:paraId="616DDC17" w14:textId="77777777" w:rsidR="00A36941" w:rsidRPr="00CA28DC" w:rsidRDefault="00A36941" w:rsidP="00A36941">
      <w:pPr>
        <w:jc w:val="both"/>
        <w:rPr>
          <w:sz w:val="24"/>
          <w:szCs w:val="24"/>
          <w:lang w:val="lt-LT"/>
        </w:rPr>
      </w:pPr>
    </w:p>
    <w:p w14:paraId="616DDC18" w14:textId="77777777" w:rsidR="00A36941" w:rsidRPr="00CA28DC" w:rsidRDefault="00A36941" w:rsidP="00A36941">
      <w:pPr>
        <w:jc w:val="both"/>
        <w:rPr>
          <w:sz w:val="24"/>
          <w:szCs w:val="24"/>
          <w:lang w:val="lt-LT"/>
        </w:rPr>
      </w:pPr>
    </w:p>
    <w:p w14:paraId="616DDC19" w14:textId="77777777" w:rsidR="00A36941" w:rsidRPr="00CA28DC" w:rsidRDefault="00A36941" w:rsidP="00A36941">
      <w:pPr>
        <w:jc w:val="both"/>
        <w:rPr>
          <w:sz w:val="24"/>
          <w:szCs w:val="24"/>
          <w:lang w:val="lt-LT"/>
        </w:rPr>
      </w:pPr>
    </w:p>
    <w:p w14:paraId="616DDC1A" w14:textId="77777777" w:rsidR="00A36941" w:rsidRPr="00CA28DC" w:rsidRDefault="00A36941" w:rsidP="00A36941">
      <w:pPr>
        <w:jc w:val="both"/>
        <w:rPr>
          <w:sz w:val="24"/>
          <w:szCs w:val="24"/>
          <w:lang w:val="lt-LT"/>
        </w:rPr>
      </w:pPr>
    </w:p>
    <w:sectPr w:rsidR="00A36941" w:rsidRPr="00CA28DC" w:rsidSect="001F22F4">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DDC1E" w14:textId="77777777" w:rsidR="00186D20" w:rsidRDefault="00186D20">
      <w:r>
        <w:separator/>
      </w:r>
    </w:p>
  </w:endnote>
  <w:endnote w:type="continuationSeparator" w:id="0">
    <w:p w14:paraId="616DDC1F" w14:textId="77777777" w:rsidR="00186D20" w:rsidRDefault="0018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7" w:usb1="00000000" w:usb2="00000000" w:usb3="00000000" w:csb0="00000003" w:csb1="00000000"/>
  </w:font>
  <w:font w:name="TimesLT">
    <w:altName w:val="Times New Roman"/>
    <w:charset w:val="BA"/>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DC1C" w14:textId="77777777" w:rsidR="00186D20" w:rsidRDefault="00186D20">
      <w:r>
        <w:separator/>
      </w:r>
    </w:p>
  </w:footnote>
  <w:footnote w:type="continuationSeparator" w:id="0">
    <w:p w14:paraId="616DDC1D" w14:textId="77777777" w:rsidR="00186D20" w:rsidRDefault="0018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DDC20" w14:textId="6CD01EEF" w:rsidR="00186D20" w:rsidRDefault="00186D20" w:rsidP="00EB1BFB">
    <w:pPr>
      <w:framePr w:h="0" w:hSpace="180" w:wrap="around" w:vAnchor="text" w:hAnchor="page" w:x="5905" w:y="12"/>
    </w:pPr>
    <w:r>
      <w:rPr>
        <w:noProof/>
        <w:lang w:val="en-US" w:eastAsia="en-US"/>
      </w:rPr>
      <w:drawing>
        <wp:inline distT="0" distB="0" distL="0" distR="0" wp14:anchorId="616DDC28" wp14:editId="06E07AB5">
          <wp:extent cx="539750" cy="69215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92150"/>
                  </a:xfrm>
                  <a:prstGeom prst="rect">
                    <a:avLst/>
                  </a:prstGeom>
                  <a:noFill/>
                  <a:ln>
                    <a:noFill/>
                  </a:ln>
                </pic:spPr>
              </pic:pic>
            </a:graphicData>
          </a:graphic>
        </wp:inline>
      </w:drawing>
    </w:r>
  </w:p>
  <w:p w14:paraId="616DDC21" w14:textId="5871486E" w:rsidR="00186D20" w:rsidRPr="00126F37" w:rsidRDefault="00126F37" w:rsidP="00126F37">
    <w:pPr>
      <w:jc w:val="right"/>
      <w:rPr>
        <w:b/>
        <w:sz w:val="24"/>
        <w:szCs w:val="24"/>
      </w:rPr>
    </w:pPr>
    <w:r w:rsidRPr="00126F37">
      <w:rPr>
        <w:sz w:val="24"/>
        <w:szCs w:val="24"/>
        <w:lang w:val="lt-LT"/>
      </w:rPr>
      <w:t>Projektas</w:t>
    </w:r>
  </w:p>
  <w:p w14:paraId="616DDC22" w14:textId="666C010D" w:rsidR="00186D20" w:rsidRPr="00126F37" w:rsidRDefault="00186D20" w:rsidP="00EB1BFB">
    <w:pPr>
      <w:rPr>
        <w:sz w:val="24"/>
        <w:szCs w:val="24"/>
        <w:lang w:val="lt-LT"/>
      </w:rPr>
    </w:pPr>
    <w:r w:rsidRPr="00126F37">
      <w:rPr>
        <w:b/>
        <w:sz w:val="24"/>
        <w:szCs w:val="24"/>
      </w:rPr>
      <w:tab/>
    </w:r>
    <w:r w:rsidRPr="00126F37">
      <w:rPr>
        <w:b/>
        <w:sz w:val="24"/>
        <w:szCs w:val="24"/>
      </w:rPr>
      <w:tab/>
    </w:r>
    <w:r w:rsidRPr="00126F37">
      <w:rPr>
        <w:b/>
        <w:sz w:val="24"/>
        <w:szCs w:val="24"/>
      </w:rPr>
      <w:tab/>
    </w:r>
    <w:r w:rsidRPr="00126F37">
      <w:rPr>
        <w:b/>
        <w:sz w:val="24"/>
        <w:szCs w:val="24"/>
      </w:rPr>
      <w:tab/>
    </w:r>
    <w:r w:rsidRPr="00126F37">
      <w:rPr>
        <w:b/>
        <w:sz w:val="24"/>
        <w:szCs w:val="24"/>
      </w:rPr>
      <w:tab/>
    </w:r>
    <w:r w:rsidRPr="00126F37">
      <w:rPr>
        <w:b/>
        <w:sz w:val="24"/>
        <w:szCs w:val="24"/>
      </w:rPr>
      <w:tab/>
    </w:r>
    <w:r w:rsidRPr="00126F37">
      <w:rPr>
        <w:b/>
        <w:sz w:val="24"/>
        <w:szCs w:val="24"/>
      </w:rPr>
      <w:tab/>
    </w:r>
    <w:r w:rsidRPr="00126F37">
      <w:rPr>
        <w:b/>
        <w:sz w:val="24"/>
        <w:szCs w:val="24"/>
      </w:rPr>
      <w:tab/>
    </w:r>
    <w:r w:rsidRPr="00126F37">
      <w:rPr>
        <w:b/>
        <w:sz w:val="24"/>
        <w:szCs w:val="24"/>
      </w:rPr>
      <w:tab/>
    </w:r>
    <w:r w:rsidRPr="00126F37">
      <w:rPr>
        <w:b/>
        <w:sz w:val="24"/>
        <w:szCs w:val="24"/>
      </w:rPr>
      <w:tab/>
    </w:r>
  </w:p>
  <w:p w14:paraId="616DDC23" w14:textId="77777777" w:rsidR="00186D20" w:rsidRPr="00126F37" w:rsidRDefault="00186D20" w:rsidP="00EB1BFB">
    <w:pPr>
      <w:rPr>
        <w:sz w:val="24"/>
        <w:szCs w:val="24"/>
      </w:rPr>
    </w:pPr>
  </w:p>
  <w:p w14:paraId="616DDC24" w14:textId="77777777" w:rsidR="00186D20" w:rsidRPr="00126F37" w:rsidRDefault="00186D20" w:rsidP="00EB1BFB">
    <w:pPr>
      <w:rPr>
        <w:rFonts w:ascii="TimesLT" w:hAnsi="TimesLT"/>
        <w:b/>
        <w:sz w:val="24"/>
        <w:szCs w:val="24"/>
      </w:rPr>
    </w:pPr>
    <w:r w:rsidRPr="00126F37">
      <w:rPr>
        <w:rFonts w:ascii="TimesLT" w:hAnsi="TimesLT"/>
        <w:b/>
        <w:sz w:val="24"/>
        <w:szCs w:val="24"/>
      </w:rPr>
      <w:t xml:space="preserve">          </w:t>
    </w:r>
  </w:p>
  <w:p w14:paraId="616DDC25" w14:textId="77777777" w:rsidR="00186D20" w:rsidRPr="00126F37" w:rsidRDefault="00186D20" w:rsidP="00126F37">
    <w:pPr>
      <w:jc w:val="center"/>
      <w:rPr>
        <w:rFonts w:ascii="TimesLT" w:hAnsi="TimesLT"/>
        <w:b/>
        <w:sz w:val="24"/>
        <w:szCs w:val="24"/>
      </w:rPr>
    </w:pPr>
  </w:p>
  <w:p w14:paraId="616DDC26" w14:textId="77777777" w:rsidR="00186D20" w:rsidRPr="00126F37" w:rsidRDefault="00186D20" w:rsidP="00EB1BFB">
    <w:pPr>
      <w:jc w:val="center"/>
      <w:rPr>
        <w:b/>
        <w:sz w:val="24"/>
        <w:szCs w:val="24"/>
      </w:rPr>
    </w:pPr>
    <w:r w:rsidRPr="00126F37">
      <w:rPr>
        <w:b/>
        <w:sz w:val="24"/>
        <w:szCs w:val="24"/>
      </w:rPr>
      <w:t>ROKI</w:t>
    </w:r>
    <w:r w:rsidRPr="00126F37">
      <w:rPr>
        <w:b/>
        <w:sz w:val="24"/>
        <w:szCs w:val="24"/>
        <w:lang w:val="lt-LT"/>
      </w:rPr>
      <w:t>Š</w:t>
    </w:r>
    <w:r w:rsidRPr="00126F37">
      <w:rPr>
        <w:b/>
        <w:sz w:val="24"/>
        <w:szCs w:val="24"/>
      </w:rPr>
      <w:t>KIO RAJONO SAVIVALDYBĖS TARYBA</w:t>
    </w:r>
  </w:p>
  <w:p w14:paraId="616DDC27" w14:textId="77777777" w:rsidR="00186D20" w:rsidRPr="00126F37" w:rsidRDefault="00186D20" w:rsidP="00EB1BFB">
    <w:pP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6DF24"/>
    <w:multiLevelType w:val="hybridMultilevel"/>
    <w:tmpl w:val="4560711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9899BB0B"/>
    <w:multiLevelType w:val="hybridMultilevel"/>
    <w:tmpl w:val="B8231E2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9D0EFEF1"/>
    <w:multiLevelType w:val="hybridMultilevel"/>
    <w:tmpl w:val="4D76DF1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BC0D7FE4"/>
    <w:multiLevelType w:val="hybridMultilevel"/>
    <w:tmpl w:val="6DF039A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BCFCE884"/>
    <w:multiLevelType w:val="hybridMultilevel"/>
    <w:tmpl w:val="C63ADA2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A088211"/>
    <w:multiLevelType w:val="hybridMultilevel"/>
    <w:tmpl w:val="AEA47F5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8">
    <w:nsid w:val="0FDA5D79"/>
    <w:multiLevelType w:val="hybridMultilevel"/>
    <w:tmpl w:val="9519BD1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CD12BA3"/>
    <w:multiLevelType w:val="hybridMultilevel"/>
    <w:tmpl w:val="50702A8C"/>
    <w:lvl w:ilvl="0" w:tplc="553405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229F226C"/>
    <w:multiLevelType w:val="hybridMultilevel"/>
    <w:tmpl w:val="BF9F1BF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25123268"/>
    <w:multiLevelType w:val="hybridMultilevel"/>
    <w:tmpl w:val="A78DA0E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3FBBD2AE"/>
    <w:multiLevelType w:val="hybridMultilevel"/>
    <w:tmpl w:val="A282449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40605C0F"/>
    <w:multiLevelType w:val="hybridMultilevel"/>
    <w:tmpl w:val="04A6A9C0"/>
    <w:lvl w:ilvl="0" w:tplc="0770BBC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40F06D68"/>
    <w:multiLevelType w:val="hybridMultilevel"/>
    <w:tmpl w:val="551C9022"/>
    <w:lvl w:ilvl="0" w:tplc="61EAE3A8">
      <w:start w:val="4"/>
      <w:numFmt w:val="bullet"/>
      <w:lvlText w:val="-"/>
      <w:lvlJc w:val="left"/>
      <w:pPr>
        <w:ind w:left="1665" w:hanging="360"/>
      </w:pPr>
      <w:rPr>
        <w:rFonts w:ascii="Times New Roman" w:eastAsia="Calibri"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20">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1">
    <w:nsid w:val="559A7622"/>
    <w:multiLevelType w:val="hybridMultilevel"/>
    <w:tmpl w:val="00513CE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5">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B799A14"/>
    <w:multiLevelType w:val="hybridMultilevel"/>
    <w:tmpl w:val="E8254A3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4"/>
  </w:num>
  <w:num w:numId="2">
    <w:abstractNumId w:val="10"/>
  </w:num>
  <w:num w:numId="3">
    <w:abstractNumId w:val="9"/>
  </w:num>
  <w:num w:numId="4">
    <w:abstractNumId w:val="23"/>
  </w:num>
  <w:num w:numId="5">
    <w:abstractNumId w:val="26"/>
  </w:num>
  <w:num w:numId="6">
    <w:abstractNumId w:val="12"/>
  </w:num>
  <w:num w:numId="7">
    <w:abstractNumId w:val="5"/>
  </w:num>
  <w:num w:numId="8">
    <w:abstractNumId w:val="20"/>
  </w:num>
  <w:num w:numId="9">
    <w:abstractNumId w:val="15"/>
  </w:num>
  <w:num w:numId="10">
    <w:abstractNumId w:val="25"/>
  </w:num>
  <w:num w:numId="11">
    <w:abstractNumId w:val="22"/>
  </w:num>
  <w:num w:numId="12">
    <w:abstractNumId w:val="16"/>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8"/>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30728"/>
    <w:rsid w:val="00040B68"/>
    <w:rsid w:val="00065EDC"/>
    <w:rsid w:val="00074117"/>
    <w:rsid w:val="00075B45"/>
    <w:rsid w:val="00080F89"/>
    <w:rsid w:val="00085048"/>
    <w:rsid w:val="00095A86"/>
    <w:rsid w:val="000A4176"/>
    <w:rsid w:val="000B1CE9"/>
    <w:rsid w:val="000B5392"/>
    <w:rsid w:val="000C20E5"/>
    <w:rsid w:val="000D5DBA"/>
    <w:rsid w:val="000E178E"/>
    <w:rsid w:val="0010197B"/>
    <w:rsid w:val="001059F4"/>
    <w:rsid w:val="00113C20"/>
    <w:rsid w:val="00126F37"/>
    <w:rsid w:val="00185C41"/>
    <w:rsid w:val="00186D20"/>
    <w:rsid w:val="00187088"/>
    <w:rsid w:val="001A6983"/>
    <w:rsid w:val="001B6A74"/>
    <w:rsid w:val="001C358C"/>
    <w:rsid w:val="001E755B"/>
    <w:rsid w:val="001F22F4"/>
    <w:rsid w:val="001F26FA"/>
    <w:rsid w:val="002318C5"/>
    <w:rsid w:val="00237DF9"/>
    <w:rsid w:val="00262277"/>
    <w:rsid w:val="002A5167"/>
    <w:rsid w:val="002C38D9"/>
    <w:rsid w:val="002D3B35"/>
    <w:rsid w:val="002F3C6B"/>
    <w:rsid w:val="00317263"/>
    <w:rsid w:val="003220FD"/>
    <w:rsid w:val="00330DAA"/>
    <w:rsid w:val="00365A62"/>
    <w:rsid w:val="00390C0C"/>
    <w:rsid w:val="003A20F8"/>
    <w:rsid w:val="003A2F5A"/>
    <w:rsid w:val="003B47CA"/>
    <w:rsid w:val="003C1C25"/>
    <w:rsid w:val="003C1EF1"/>
    <w:rsid w:val="003C3613"/>
    <w:rsid w:val="003D6554"/>
    <w:rsid w:val="003E54BE"/>
    <w:rsid w:val="003F2368"/>
    <w:rsid w:val="00404748"/>
    <w:rsid w:val="00404F3E"/>
    <w:rsid w:val="00441928"/>
    <w:rsid w:val="00454130"/>
    <w:rsid w:val="00465378"/>
    <w:rsid w:val="004855CF"/>
    <w:rsid w:val="004A7A22"/>
    <w:rsid w:val="004E48E7"/>
    <w:rsid w:val="004F1509"/>
    <w:rsid w:val="005307EE"/>
    <w:rsid w:val="00531F8B"/>
    <w:rsid w:val="0053512E"/>
    <w:rsid w:val="00563489"/>
    <w:rsid w:val="00564D54"/>
    <w:rsid w:val="00565D94"/>
    <w:rsid w:val="005738F5"/>
    <w:rsid w:val="00574298"/>
    <w:rsid w:val="00590F26"/>
    <w:rsid w:val="00594803"/>
    <w:rsid w:val="005B1B1F"/>
    <w:rsid w:val="005B4589"/>
    <w:rsid w:val="005D10B1"/>
    <w:rsid w:val="005E07D7"/>
    <w:rsid w:val="005E4261"/>
    <w:rsid w:val="005E4F26"/>
    <w:rsid w:val="005F2581"/>
    <w:rsid w:val="00620389"/>
    <w:rsid w:val="00620393"/>
    <w:rsid w:val="00641C83"/>
    <w:rsid w:val="006423E2"/>
    <w:rsid w:val="00650B14"/>
    <w:rsid w:val="0067194A"/>
    <w:rsid w:val="00683B78"/>
    <w:rsid w:val="00690A51"/>
    <w:rsid w:val="006A760B"/>
    <w:rsid w:val="006D7030"/>
    <w:rsid w:val="006F6E97"/>
    <w:rsid w:val="0072281E"/>
    <w:rsid w:val="00750BD7"/>
    <w:rsid w:val="00765683"/>
    <w:rsid w:val="00767A7F"/>
    <w:rsid w:val="00771E1A"/>
    <w:rsid w:val="00787C2F"/>
    <w:rsid w:val="0079214A"/>
    <w:rsid w:val="007960FA"/>
    <w:rsid w:val="007C5EF1"/>
    <w:rsid w:val="007D28B4"/>
    <w:rsid w:val="00805B08"/>
    <w:rsid w:val="00815090"/>
    <w:rsid w:val="008258B3"/>
    <w:rsid w:val="008261CA"/>
    <w:rsid w:val="00834271"/>
    <w:rsid w:val="00841780"/>
    <w:rsid w:val="00853BB1"/>
    <w:rsid w:val="00854E07"/>
    <w:rsid w:val="00855FC2"/>
    <w:rsid w:val="00880525"/>
    <w:rsid w:val="00895C28"/>
    <w:rsid w:val="008A29BF"/>
    <w:rsid w:val="008C4B7E"/>
    <w:rsid w:val="008C7D29"/>
    <w:rsid w:val="008D23EC"/>
    <w:rsid w:val="008E7F5B"/>
    <w:rsid w:val="008F5059"/>
    <w:rsid w:val="008F6439"/>
    <w:rsid w:val="00904423"/>
    <w:rsid w:val="009108CD"/>
    <w:rsid w:val="00917406"/>
    <w:rsid w:val="00932F6C"/>
    <w:rsid w:val="009330E9"/>
    <w:rsid w:val="009339A7"/>
    <w:rsid w:val="00951728"/>
    <w:rsid w:val="0095200A"/>
    <w:rsid w:val="00965CF0"/>
    <w:rsid w:val="00965DEF"/>
    <w:rsid w:val="009721EE"/>
    <w:rsid w:val="00987532"/>
    <w:rsid w:val="00990C62"/>
    <w:rsid w:val="00991587"/>
    <w:rsid w:val="009B6495"/>
    <w:rsid w:val="009C1F16"/>
    <w:rsid w:val="009C5CB6"/>
    <w:rsid w:val="00A17A7A"/>
    <w:rsid w:val="00A3518E"/>
    <w:rsid w:val="00A36941"/>
    <w:rsid w:val="00A624A4"/>
    <w:rsid w:val="00A64DF4"/>
    <w:rsid w:val="00A77246"/>
    <w:rsid w:val="00AC6EFA"/>
    <w:rsid w:val="00AD0A9E"/>
    <w:rsid w:val="00B21FA0"/>
    <w:rsid w:val="00B3094B"/>
    <w:rsid w:val="00B45626"/>
    <w:rsid w:val="00B52CC9"/>
    <w:rsid w:val="00B62BAC"/>
    <w:rsid w:val="00B804BD"/>
    <w:rsid w:val="00B90D1A"/>
    <w:rsid w:val="00BD52BA"/>
    <w:rsid w:val="00BD5C96"/>
    <w:rsid w:val="00BE4861"/>
    <w:rsid w:val="00BE59D0"/>
    <w:rsid w:val="00BE6371"/>
    <w:rsid w:val="00BF1AC1"/>
    <w:rsid w:val="00BF1C9E"/>
    <w:rsid w:val="00C11020"/>
    <w:rsid w:val="00C13BB0"/>
    <w:rsid w:val="00C31423"/>
    <w:rsid w:val="00C402F6"/>
    <w:rsid w:val="00C471BB"/>
    <w:rsid w:val="00CA28DC"/>
    <w:rsid w:val="00CA536C"/>
    <w:rsid w:val="00CA7F4C"/>
    <w:rsid w:val="00CB1B62"/>
    <w:rsid w:val="00CB2F2A"/>
    <w:rsid w:val="00CC4D7F"/>
    <w:rsid w:val="00CC5051"/>
    <w:rsid w:val="00CD29B8"/>
    <w:rsid w:val="00CE4D05"/>
    <w:rsid w:val="00CF1E14"/>
    <w:rsid w:val="00D2048B"/>
    <w:rsid w:val="00D24487"/>
    <w:rsid w:val="00D52072"/>
    <w:rsid w:val="00D60691"/>
    <w:rsid w:val="00D7633A"/>
    <w:rsid w:val="00D8330F"/>
    <w:rsid w:val="00D85BE6"/>
    <w:rsid w:val="00D9657E"/>
    <w:rsid w:val="00DB5DE1"/>
    <w:rsid w:val="00DC6CC4"/>
    <w:rsid w:val="00DD14A1"/>
    <w:rsid w:val="00DE738F"/>
    <w:rsid w:val="00DE78DB"/>
    <w:rsid w:val="00E00583"/>
    <w:rsid w:val="00E06997"/>
    <w:rsid w:val="00E220A3"/>
    <w:rsid w:val="00E750C3"/>
    <w:rsid w:val="00E87305"/>
    <w:rsid w:val="00EA3BBE"/>
    <w:rsid w:val="00EB1BFB"/>
    <w:rsid w:val="00EB2A84"/>
    <w:rsid w:val="00EC6931"/>
    <w:rsid w:val="00EF24EE"/>
    <w:rsid w:val="00F0443E"/>
    <w:rsid w:val="00F054DE"/>
    <w:rsid w:val="00F20623"/>
    <w:rsid w:val="00F21BC8"/>
    <w:rsid w:val="00F70F67"/>
    <w:rsid w:val="00F834D6"/>
    <w:rsid w:val="00F93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16D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uiPriority w:val="59"/>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 w:type="paragraph" w:customStyle="1" w:styleId="Pa8">
    <w:name w:val="Pa8"/>
    <w:basedOn w:val="Default"/>
    <w:next w:val="Default"/>
    <w:uiPriority w:val="99"/>
    <w:rsid w:val="00990C62"/>
    <w:pPr>
      <w:spacing w:line="221" w:lineRule="atLeast"/>
    </w:pPr>
    <w:rPr>
      <w:rFonts w:ascii="Myriad Pro" w:eastAsia="Calibri" w:hAnsi="Myriad Pro"/>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uiPriority w:val="59"/>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9108CD"/>
    <w:rPr>
      <w:strike w:val="0"/>
      <w:dstrike w:val="0"/>
      <w:color w:val="6E717F"/>
      <w:u w:val="none"/>
      <w:effect w:val="none"/>
    </w:rPr>
  </w:style>
  <w:style w:type="paragraph" w:customStyle="1" w:styleId="Pa8">
    <w:name w:val="Pa8"/>
    <w:basedOn w:val="Default"/>
    <w:next w:val="Default"/>
    <w:uiPriority w:val="99"/>
    <w:rsid w:val="00990C62"/>
    <w:pPr>
      <w:spacing w:line="221" w:lineRule="atLeast"/>
    </w:pPr>
    <w:rPr>
      <w:rFonts w:ascii="Myriad Pro" w:eastAsia="Calibri" w:hAnsi="Myriad Pro"/>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7431">
      <w:bodyDiv w:val="1"/>
      <w:marLeft w:val="0"/>
      <w:marRight w:val="0"/>
      <w:marTop w:val="0"/>
      <w:marBottom w:val="0"/>
      <w:divBdr>
        <w:top w:val="none" w:sz="0" w:space="0" w:color="auto"/>
        <w:left w:val="none" w:sz="0" w:space="0" w:color="auto"/>
        <w:bottom w:val="none" w:sz="0" w:space="0" w:color="auto"/>
        <w:right w:val="none" w:sz="0" w:space="0" w:color="auto"/>
      </w:divBdr>
    </w:div>
    <w:div w:id="373846908">
      <w:bodyDiv w:val="1"/>
      <w:marLeft w:val="0"/>
      <w:marRight w:val="0"/>
      <w:marTop w:val="0"/>
      <w:marBottom w:val="0"/>
      <w:divBdr>
        <w:top w:val="none" w:sz="0" w:space="0" w:color="auto"/>
        <w:left w:val="none" w:sz="0" w:space="0" w:color="auto"/>
        <w:bottom w:val="none" w:sz="0" w:space="0" w:color="auto"/>
        <w:right w:val="none" w:sz="0" w:space="0" w:color="auto"/>
      </w:divBdr>
    </w:div>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1849640275">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5621-A309-45AF-9E9E-C44CC62C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8</Pages>
  <Words>2533</Words>
  <Characters>17146</Characters>
  <Application>Microsoft Office Word</Application>
  <DocSecurity>0</DocSecurity>
  <Lines>142</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2021-04-20T08:01:00Z</dcterms:created>
  <dcterms:modified xsi:type="dcterms:W3CDTF">2021-04-20T08:01:00Z</dcterms:modified>
</cp:coreProperties>
</file>